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89BE" w14:textId="77777777" w:rsidR="008265CC" w:rsidRDefault="008265CC" w:rsidP="008265CC">
      <w:pPr>
        <w:rPr>
          <w:b/>
          <w:sz w:val="24"/>
          <w:szCs w:val="24"/>
        </w:rPr>
      </w:pPr>
    </w:p>
    <w:p w14:paraId="2044A898" w14:textId="5122136B" w:rsidR="008265CC" w:rsidRPr="008265CC" w:rsidRDefault="008265CC" w:rsidP="00CF0B1D">
      <w:pPr>
        <w:ind w:left="0" w:firstLine="0"/>
        <w:rPr>
          <w:b/>
          <w:sz w:val="28"/>
          <w:szCs w:val="28"/>
        </w:rPr>
      </w:pPr>
      <w:r w:rsidRPr="008265CC">
        <w:rPr>
          <w:b/>
          <w:sz w:val="28"/>
          <w:szCs w:val="28"/>
        </w:rPr>
        <w:t>LGA Perceptions Survey 2017/2018: S</w:t>
      </w:r>
      <w:r>
        <w:rPr>
          <w:b/>
          <w:sz w:val="28"/>
          <w:szCs w:val="28"/>
        </w:rPr>
        <w:t xml:space="preserve">ector Led Improvement </w:t>
      </w:r>
      <w:r w:rsidRPr="008265CC">
        <w:rPr>
          <w:b/>
          <w:sz w:val="28"/>
          <w:szCs w:val="28"/>
        </w:rPr>
        <w:t>Questions</w:t>
      </w:r>
    </w:p>
    <w:p w14:paraId="06B44CD8" w14:textId="77777777" w:rsidR="008265CC" w:rsidRPr="00C803F3" w:rsidRDefault="008265CC" w:rsidP="008265CC">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2B0157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42FC6" w14:textId="0A2C502A" w:rsidR="00795C95" w:rsidRDefault="00CD7F07" w:rsidP="00B84F31">
          <w:pPr>
            <w:ind w:left="0" w:firstLine="0"/>
            <w:rPr>
              <w:rStyle w:val="Title3Char"/>
            </w:rPr>
          </w:pPr>
          <w:r>
            <w:rPr>
              <w:rStyle w:val="Title3Char"/>
            </w:rPr>
            <w:t>For discussion.</w:t>
          </w:r>
        </w:p>
      </w:sdtContent>
    </w:sdt>
    <w:p w14:paraId="6519ABF3"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4E66E22" w14:textId="77777777" w:rsidR="009B6F95" w:rsidRPr="00A627DD" w:rsidRDefault="009B6F95" w:rsidP="00B84F31">
          <w:pPr>
            <w:ind w:left="0" w:firstLine="0"/>
          </w:pPr>
          <w:r w:rsidRPr="00C803F3">
            <w:rPr>
              <w:rStyle w:val="Style6"/>
            </w:rPr>
            <w:t>Summary</w:t>
          </w:r>
        </w:p>
      </w:sdtContent>
    </w:sdt>
    <w:p w14:paraId="41B6535B" w14:textId="16237A0C" w:rsidR="009B6F95" w:rsidRPr="008118F4" w:rsidRDefault="00C84142" w:rsidP="00B84F31">
      <w:pPr>
        <w:pStyle w:val="Title3"/>
        <w:ind w:left="0" w:firstLine="0"/>
        <w:rPr>
          <w:highlight w:val="yellow"/>
        </w:rPr>
      </w:pPr>
      <w:r w:rsidRPr="008118F4">
        <w:t xml:space="preserve">This report provides members </w:t>
      </w:r>
      <w:r w:rsidR="00CD7F07" w:rsidRPr="008118F4">
        <w:t xml:space="preserve">with a summary of the responses to </w:t>
      </w:r>
      <w:r w:rsidRPr="008118F4">
        <w:t>the</w:t>
      </w:r>
      <w:r w:rsidR="00CD7F07" w:rsidRPr="008118F4">
        <w:t xml:space="preserve"> sector led improvement questions in the LGA’s</w:t>
      </w:r>
      <w:r w:rsidRPr="008118F4">
        <w:t xml:space="preserve"> annual perceptions survey of our membership.</w:t>
      </w:r>
      <w:r w:rsidR="00CD7F07" w:rsidRPr="008118F4">
        <w:t xml:space="preserve"> </w:t>
      </w:r>
    </w:p>
    <w:p w14:paraId="5C3B7D04" w14:textId="012F7EE3" w:rsidR="00CD7F07" w:rsidRDefault="00CD7F07" w:rsidP="00B84F31">
      <w:pPr>
        <w:pStyle w:val="Title3"/>
        <w:ind w:left="0" w:firstLine="0"/>
      </w:pPr>
      <w:r w:rsidRPr="008118F4">
        <w:t xml:space="preserve">The results of the full survey have been reported to the LGA Leadership Board, which </w:t>
      </w:r>
      <w:r w:rsidR="00700692" w:rsidRPr="008118F4">
        <w:t xml:space="preserve">oversees this work and the follow-up </w:t>
      </w:r>
      <w:r w:rsidRPr="008118F4">
        <w:t>action plan</w:t>
      </w:r>
      <w:r w:rsidR="008118F4" w:rsidRPr="008118F4">
        <w:t xml:space="preserve"> </w:t>
      </w:r>
      <w:r w:rsidR="008118F4" w:rsidRPr="002130ED">
        <w:t xml:space="preserve">(which can be found as </w:t>
      </w:r>
      <w:r w:rsidR="007C5F51" w:rsidRPr="006E4AD6">
        <w:rPr>
          <w:b/>
          <w:u w:val="single"/>
        </w:rPr>
        <w:t>Appendix A</w:t>
      </w:r>
      <w:r w:rsidR="008118F4" w:rsidRPr="002130ED">
        <w:t xml:space="preserve"> to this paper)</w:t>
      </w:r>
      <w:r w:rsidRPr="002130ED">
        <w:t>.</w:t>
      </w:r>
    </w:p>
    <w:p w14:paraId="0367F77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1" locked="0" layoutInCell="1" allowOverlap="1" wp14:anchorId="0BE9AC92" wp14:editId="06F5FAF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516E0" w14:textId="77777777" w:rsidR="00736570" w:rsidRDefault="00736570"/>
                          <w:sdt>
                            <w:sdtPr>
                              <w:rPr>
                                <w:rStyle w:val="Style6"/>
                              </w:rPr>
                              <w:alias w:val="Recommendations"/>
                              <w:tag w:val="Recommendations"/>
                              <w:id w:val="-1634171231"/>
                              <w:placeholder>
                                <w:docPart w:val="6A9E8857DB8647FABF64567742B78AD3"/>
                              </w:placeholder>
                            </w:sdtPr>
                            <w:sdtEndPr>
                              <w:rPr>
                                <w:rStyle w:val="Style6"/>
                              </w:rPr>
                            </w:sdtEndPr>
                            <w:sdtContent>
                              <w:p w14:paraId="242B61F3" w14:textId="3AB21318" w:rsidR="00736570" w:rsidRPr="008118F4" w:rsidRDefault="00736570" w:rsidP="00B84F31">
                                <w:pPr>
                                  <w:ind w:left="0" w:firstLine="0"/>
                                </w:pPr>
                                <w:r w:rsidRPr="008118F4">
                                  <w:rPr>
                                    <w:rStyle w:val="Style6"/>
                                  </w:rPr>
                                  <w:t>Recommendation</w:t>
                                </w:r>
                              </w:p>
                            </w:sdtContent>
                          </w:sdt>
                          <w:p w14:paraId="12F2A4AB" w14:textId="6F0E717B" w:rsidR="00736570" w:rsidRPr="008118F4" w:rsidRDefault="00736570" w:rsidP="00CD7F07">
                            <w:pPr>
                              <w:pStyle w:val="Title3"/>
                              <w:ind w:left="0" w:firstLine="0"/>
                            </w:pPr>
                            <w:r w:rsidRPr="008118F4">
                              <w:t>That</w:t>
                            </w:r>
                            <w:r w:rsidR="00C803BD">
                              <w:t xml:space="preserve"> Members of the Improvement and Innovation</w:t>
                            </w:r>
                            <w:r w:rsidRPr="008118F4">
                              <w:t xml:space="preserve"> Board considers the responses to the sector led improvement questions in the latest perceptions survey and agrees any actions.</w:t>
                            </w:r>
                          </w:p>
                          <w:p w14:paraId="0688BAD0" w14:textId="1BB196B1" w:rsidR="00736570" w:rsidRPr="008118F4" w:rsidRDefault="002460F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36570" w:rsidRPr="008118F4">
                                  <w:rPr>
                                    <w:rStyle w:val="Style6"/>
                                  </w:rPr>
                                  <w:t>Action</w:t>
                                </w:r>
                              </w:sdtContent>
                            </w:sdt>
                          </w:p>
                          <w:p w14:paraId="46736700" w14:textId="01D13F5A" w:rsidR="00736570" w:rsidRPr="00B84F31" w:rsidRDefault="00736570" w:rsidP="00B84F31">
                            <w:pPr>
                              <w:pStyle w:val="Title3"/>
                              <w:ind w:left="0" w:firstLine="0"/>
                            </w:pPr>
                            <w:r w:rsidRPr="008118F4">
                              <w:t>As directed by Members.</w:t>
                            </w:r>
                          </w:p>
                          <w:p w14:paraId="54433B21" w14:textId="77777777" w:rsidR="00736570" w:rsidRDefault="00736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9AC92"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F6516E0" w14:textId="77777777" w:rsidR="00736570" w:rsidRDefault="00736570"/>
                    <w:sdt>
                      <w:sdtPr>
                        <w:rPr>
                          <w:rStyle w:val="Style6"/>
                        </w:rPr>
                        <w:alias w:val="Recommendations"/>
                        <w:tag w:val="Recommendations"/>
                        <w:id w:val="-1634171231"/>
                        <w:placeholder>
                          <w:docPart w:val="6A9E8857DB8647FABF64567742B78AD3"/>
                        </w:placeholder>
                      </w:sdtPr>
                      <w:sdtEndPr>
                        <w:rPr>
                          <w:rStyle w:val="Style6"/>
                        </w:rPr>
                      </w:sdtEndPr>
                      <w:sdtContent>
                        <w:p w14:paraId="242B61F3" w14:textId="3AB21318" w:rsidR="00736570" w:rsidRPr="008118F4" w:rsidRDefault="00736570" w:rsidP="00B84F31">
                          <w:pPr>
                            <w:ind w:left="0" w:firstLine="0"/>
                          </w:pPr>
                          <w:r w:rsidRPr="008118F4">
                            <w:rPr>
                              <w:rStyle w:val="Style6"/>
                            </w:rPr>
                            <w:t>Recommendation</w:t>
                          </w:r>
                        </w:p>
                      </w:sdtContent>
                    </w:sdt>
                    <w:p w14:paraId="12F2A4AB" w14:textId="6F0E717B" w:rsidR="00736570" w:rsidRPr="008118F4" w:rsidRDefault="00736570" w:rsidP="00CD7F07">
                      <w:pPr>
                        <w:pStyle w:val="Title3"/>
                        <w:ind w:left="0" w:firstLine="0"/>
                      </w:pPr>
                      <w:r w:rsidRPr="008118F4">
                        <w:t>That</w:t>
                      </w:r>
                      <w:r w:rsidR="00C803BD">
                        <w:t xml:space="preserve"> Members of the Improvement and Innovation</w:t>
                      </w:r>
                      <w:r w:rsidRPr="008118F4">
                        <w:t xml:space="preserve"> Board considers the responses to the sector led improvement questions in the latest perceptions survey and agrees any actions.</w:t>
                      </w:r>
                    </w:p>
                    <w:p w14:paraId="0688BAD0" w14:textId="1BB196B1" w:rsidR="00736570" w:rsidRPr="008118F4" w:rsidRDefault="00E5427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36570" w:rsidRPr="008118F4">
                            <w:rPr>
                              <w:rStyle w:val="Style6"/>
                            </w:rPr>
                            <w:t>Action</w:t>
                          </w:r>
                        </w:sdtContent>
                      </w:sdt>
                    </w:p>
                    <w:p w14:paraId="46736700" w14:textId="01D13F5A" w:rsidR="00736570" w:rsidRPr="00B84F31" w:rsidRDefault="00736570" w:rsidP="00B84F31">
                      <w:pPr>
                        <w:pStyle w:val="Title3"/>
                        <w:ind w:left="0" w:firstLine="0"/>
                      </w:pPr>
                      <w:r w:rsidRPr="008118F4">
                        <w:t>As directed by Members.</w:t>
                      </w:r>
                    </w:p>
                    <w:p w14:paraId="54433B21" w14:textId="77777777" w:rsidR="00736570" w:rsidRDefault="00736570"/>
                  </w:txbxContent>
                </v:textbox>
                <w10:wrap anchorx="margin"/>
              </v:shape>
            </w:pict>
          </mc:Fallback>
        </mc:AlternateContent>
      </w:r>
    </w:p>
    <w:p w14:paraId="468C2B06" w14:textId="77777777" w:rsidR="009B6F95" w:rsidRDefault="009B6F95" w:rsidP="00B84F31">
      <w:pPr>
        <w:pStyle w:val="Title3"/>
      </w:pPr>
    </w:p>
    <w:p w14:paraId="0A5B6CE2" w14:textId="77777777" w:rsidR="009B6F95" w:rsidRDefault="009B6F95" w:rsidP="00B84F31">
      <w:pPr>
        <w:pStyle w:val="Title3"/>
      </w:pPr>
    </w:p>
    <w:p w14:paraId="706CDC8F" w14:textId="77777777" w:rsidR="009B6F95" w:rsidRDefault="009B6F95" w:rsidP="00B84F31">
      <w:pPr>
        <w:pStyle w:val="Title3"/>
      </w:pPr>
    </w:p>
    <w:p w14:paraId="1B565E93" w14:textId="77777777" w:rsidR="009B6F95" w:rsidRDefault="009B6F95" w:rsidP="00B84F31">
      <w:pPr>
        <w:pStyle w:val="Title3"/>
      </w:pPr>
    </w:p>
    <w:p w14:paraId="5B76F45C" w14:textId="77777777" w:rsidR="009B6F95" w:rsidRDefault="009B6F95" w:rsidP="00B84F31">
      <w:pPr>
        <w:pStyle w:val="Title3"/>
      </w:pPr>
    </w:p>
    <w:p w14:paraId="7D8947C8" w14:textId="77777777" w:rsidR="009B6F95" w:rsidRDefault="009B6F95" w:rsidP="00B84F31">
      <w:pPr>
        <w:pStyle w:val="Title3"/>
      </w:pPr>
    </w:p>
    <w:p w14:paraId="1693C61C" w14:textId="77777777" w:rsidR="009B6F95" w:rsidRDefault="009B6F95" w:rsidP="00B84F31">
      <w:pPr>
        <w:pStyle w:val="Title3"/>
      </w:pPr>
    </w:p>
    <w:p w14:paraId="3E23DCCA" w14:textId="77777777" w:rsidR="009B6F95" w:rsidRDefault="009B6F95" w:rsidP="00B84F31">
      <w:pPr>
        <w:pStyle w:val="Title3"/>
      </w:pPr>
    </w:p>
    <w:p w14:paraId="00DA0934" w14:textId="77777777" w:rsidR="009B6F95" w:rsidRDefault="009B6F95" w:rsidP="00B84F31">
      <w:pPr>
        <w:pStyle w:val="Title3"/>
      </w:pPr>
    </w:p>
    <w:p w14:paraId="479FBEDF" w14:textId="76A964F7" w:rsidR="009B6F95" w:rsidRPr="00C803F3" w:rsidRDefault="002460F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180044">
        <w:tab/>
        <w:t xml:space="preserve">Juliet Whitworth </w:t>
      </w:r>
      <w:r w:rsidR="00180044">
        <w:tab/>
      </w:r>
      <w:r w:rsidR="00180044">
        <w:tab/>
      </w:r>
      <w:r w:rsidR="00180044">
        <w:tab/>
      </w:r>
      <w:r w:rsidR="00180044">
        <w:tab/>
        <w:t>Kate Cooper</w:t>
      </w:r>
    </w:p>
    <w:p w14:paraId="566A4694" w14:textId="61184EBE" w:rsidR="009B6F95" w:rsidRDefault="002460F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180044">
        <w:t xml:space="preserve">Research and Information Manager  </w:t>
      </w:r>
      <w:r w:rsidR="00180044">
        <w:tab/>
      </w:r>
      <w:r w:rsidR="00180044">
        <w:tab/>
        <w:t>Senior Analyst</w:t>
      </w:r>
      <w:r w:rsidR="009B6F95" w:rsidRPr="00A627DD">
        <w:tab/>
      </w:r>
    </w:p>
    <w:p w14:paraId="462291B4" w14:textId="2CC01CA9" w:rsidR="009B6F95" w:rsidRDefault="002460F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180044">
        <w:t xml:space="preserve">020 7664 3287 </w:t>
      </w:r>
      <w:r w:rsidR="00180044">
        <w:tab/>
      </w:r>
      <w:r w:rsidR="00180044">
        <w:tab/>
      </w:r>
      <w:r w:rsidR="00180044">
        <w:tab/>
      </w:r>
      <w:r w:rsidR="00180044">
        <w:tab/>
        <w:t xml:space="preserve">0207 664 3274 </w:t>
      </w:r>
      <w:r w:rsidR="009B6F95" w:rsidRPr="00B5377C">
        <w:t xml:space="preserve"> </w:t>
      </w:r>
    </w:p>
    <w:p w14:paraId="373C7C7C" w14:textId="79682E2B" w:rsidR="009B6F95" w:rsidRDefault="002460F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180044">
        <w:tab/>
      </w:r>
      <w:r w:rsidR="00180044">
        <w:tab/>
      </w:r>
      <w:r w:rsidR="00180044">
        <w:tab/>
      </w:r>
      <w:hyperlink r:id="rId11" w:history="1">
        <w:r w:rsidR="00D85156" w:rsidRPr="00CA1CFA">
          <w:rPr>
            <w:rStyle w:val="Hyperlink"/>
          </w:rPr>
          <w:t>Juliet.whitworth@local.gov.uk</w:t>
        </w:r>
      </w:hyperlink>
      <w:r w:rsidR="00D85156">
        <w:t xml:space="preserve">           </w:t>
      </w:r>
      <w:r w:rsidR="00180044">
        <w:tab/>
      </w:r>
      <w:r w:rsidR="0063416A">
        <w:tab/>
      </w:r>
      <w:hyperlink r:id="rId12" w:history="1">
        <w:r w:rsidR="00D85156" w:rsidRPr="00CA1CFA">
          <w:rPr>
            <w:rStyle w:val="Hyperlink"/>
          </w:rPr>
          <w:t>kate.cooper@local.gov.uk</w:t>
        </w:r>
      </w:hyperlink>
    </w:p>
    <w:p w14:paraId="069E7671" w14:textId="77777777" w:rsidR="00D85156" w:rsidRDefault="00D85156" w:rsidP="00B84F31">
      <w:pPr>
        <w:pStyle w:val="Title3"/>
      </w:pPr>
    </w:p>
    <w:p w14:paraId="26806F93" w14:textId="77777777" w:rsidR="009B6F95" w:rsidRPr="00E8118A" w:rsidRDefault="009B6F95" w:rsidP="00B84F31">
      <w:pPr>
        <w:pStyle w:val="Title3"/>
      </w:pPr>
    </w:p>
    <w:p w14:paraId="7E432A9C" w14:textId="0C4B7970" w:rsidR="009B6F95" w:rsidRPr="00C803F3" w:rsidRDefault="009B6F95" w:rsidP="008265CC">
      <w:pPr>
        <w:pStyle w:val="Title3"/>
      </w:pPr>
      <w:r w:rsidRPr="00C803F3">
        <w:t xml:space="preserve"> </w:t>
      </w:r>
    </w:p>
    <w:p w14:paraId="467E7FED" w14:textId="7DFE7073" w:rsidR="008265CC" w:rsidRPr="008118F4" w:rsidRDefault="008265CC" w:rsidP="00CF0B1D">
      <w:pPr>
        <w:pStyle w:val="Title1"/>
        <w:ind w:left="0" w:firstLine="0"/>
        <w:rPr>
          <w:szCs w:val="28"/>
        </w:rPr>
      </w:pPr>
      <w:r w:rsidRPr="008118F4">
        <w:rPr>
          <w:szCs w:val="28"/>
        </w:rPr>
        <w:lastRenderedPageBreak/>
        <w:t>LGA Perceptions Survey 2017/2018: Sector Led Improvement Questions</w:t>
      </w:r>
    </w:p>
    <w:p w14:paraId="203CE99B" w14:textId="1585765B" w:rsidR="009B6F95" w:rsidRPr="008118F4" w:rsidRDefault="002460F5" w:rsidP="008265CC">
      <w:pPr>
        <w:pStyle w:val="Title1"/>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8118F4">
            <w:rPr>
              <w:rStyle w:val="Style6"/>
              <w:b/>
            </w:rPr>
            <w:t>Background</w:t>
          </w:r>
        </w:sdtContent>
      </w:sdt>
    </w:p>
    <w:p w14:paraId="5BDA9B2D" w14:textId="1FA23F93" w:rsidR="005A73AB" w:rsidRDefault="005A73AB" w:rsidP="00CD1B5B">
      <w:pPr>
        <w:pStyle w:val="ListParagraph"/>
        <w:spacing w:before="240" w:after="240"/>
        <w:ind w:left="357" w:hanging="357"/>
        <w:contextualSpacing w:val="0"/>
        <w:rPr>
          <w:rStyle w:val="ReportTemplate"/>
        </w:rPr>
      </w:pPr>
      <w:r w:rsidRPr="008118F4">
        <w:rPr>
          <w:rStyle w:val="ReportTemplate"/>
        </w:rPr>
        <w:t xml:space="preserve">This is the </w:t>
      </w:r>
      <w:r w:rsidR="00654BBE" w:rsidRPr="008118F4">
        <w:rPr>
          <w:rStyle w:val="ReportTemplate"/>
        </w:rPr>
        <w:t>sixth</w:t>
      </w:r>
      <w:r w:rsidR="00CD7F07" w:rsidRPr="008118F4">
        <w:rPr>
          <w:rStyle w:val="ReportTemplate"/>
        </w:rPr>
        <w:t xml:space="preserve"> consecutive year the LGA has</w:t>
      </w:r>
      <w:r w:rsidRPr="008118F4">
        <w:rPr>
          <w:rStyle w:val="ReportTemplate"/>
        </w:rPr>
        <w:t xml:space="preserve"> undertaken a perceptions survey of our membership. This comprehensive, cross-cutting research provides us with a benchmark to inform future work and gives us a good understanding of the current views of member authorities. In addition, it helps us to better understand their views on the benefits of membership, their </w:t>
      </w:r>
      <w:r w:rsidR="00CD1B5B" w:rsidRPr="008118F4">
        <w:rPr>
          <w:rStyle w:val="ReportTemplate"/>
        </w:rPr>
        <w:t>support needs</w:t>
      </w:r>
      <w:r w:rsidRPr="008118F4">
        <w:rPr>
          <w:rStyle w:val="ReportTemplate"/>
        </w:rPr>
        <w:t>, sector-led improvement, how well informed they feel about our work and areas for improvement.</w:t>
      </w:r>
    </w:p>
    <w:p w14:paraId="75D992ED" w14:textId="481B5D7D" w:rsidR="007100A0" w:rsidRDefault="007100A0" w:rsidP="007100A0">
      <w:pPr>
        <w:pStyle w:val="ListParagraph"/>
        <w:spacing w:before="240" w:after="240"/>
        <w:ind w:left="357" w:hanging="357"/>
        <w:contextualSpacing w:val="0"/>
        <w:rPr>
          <w:rStyle w:val="ReportTemplate"/>
        </w:rPr>
      </w:pPr>
      <w:r w:rsidRPr="0063416A">
        <w:rPr>
          <w:rStyle w:val="ReportTemplate"/>
        </w:rPr>
        <w:t xml:space="preserve">A total of 1,004 interviews were undertaken with a sample of representatives from councils across all the English regions (including chief executives, directors, leaders, chairs of scrutiny, portfolio holders, frontline councillors, and, for the first time in 2017, leaders of the opposition). </w:t>
      </w:r>
    </w:p>
    <w:p w14:paraId="610B6DF2" w14:textId="336C9D6D" w:rsidR="0063416A" w:rsidRPr="00226A91" w:rsidRDefault="008118F4" w:rsidP="0063416A">
      <w:pPr>
        <w:pStyle w:val="ListParagraph"/>
        <w:spacing w:before="240" w:after="240"/>
        <w:ind w:left="357" w:hanging="357"/>
        <w:contextualSpacing w:val="0"/>
        <w:rPr>
          <w:rStyle w:val="ReportTemplate"/>
        </w:rPr>
      </w:pPr>
      <w:r w:rsidRPr="008118F4">
        <w:rPr>
          <w:rStyle w:val="ReportTemplate"/>
        </w:rPr>
        <w:t xml:space="preserve">The results of the survey were reported to the LGA Leadership Board on 11 April. The </w:t>
      </w:r>
      <w:r w:rsidRPr="0063416A">
        <w:rPr>
          <w:rStyle w:val="ReportTemplate"/>
        </w:rPr>
        <w:t xml:space="preserve">Leadership Board oversees an action plan </w:t>
      </w:r>
      <w:r w:rsidRPr="002130ED">
        <w:t>(which can be found as an annex to this paper)</w:t>
      </w:r>
      <w:r w:rsidRPr="0063416A">
        <w:t xml:space="preserve"> </w:t>
      </w:r>
      <w:r w:rsidRPr="0063416A">
        <w:rPr>
          <w:rStyle w:val="ReportTemplate"/>
        </w:rPr>
        <w:t>to help su</w:t>
      </w:r>
      <w:r w:rsidR="0063416A" w:rsidRPr="0063416A">
        <w:rPr>
          <w:rStyle w:val="ReportTemplate"/>
        </w:rPr>
        <w:t xml:space="preserve">pport some of the key findings, in particular, work to help improve the overall awareness of the LGA, sector-led improvement and our work amongst frontline </w:t>
      </w:r>
      <w:r w:rsidR="0063416A" w:rsidRPr="00226A91">
        <w:rPr>
          <w:rStyle w:val="ReportTemplate"/>
        </w:rPr>
        <w:t>councillors.</w:t>
      </w:r>
    </w:p>
    <w:p w14:paraId="0F9894D1" w14:textId="5B88DF17" w:rsidR="008118F4" w:rsidRPr="00226A91" w:rsidRDefault="00762557" w:rsidP="002130ED">
      <w:pPr>
        <w:pStyle w:val="ListParagraph"/>
        <w:spacing w:before="240" w:after="240"/>
        <w:ind w:left="357" w:hanging="357"/>
        <w:contextualSpacing w:val="0"/>
        <w:rPr>
          <w:rStyle w:val="ReportTemplate"/>
        </w:rPr>
      </w:pPr>
      <w:r w:rsidRPr="00226A91">
        <w:rPr>
          <w:rStyle w:val="ReportTemplate"/>
        </w:rPr>
        <w:t xml:space="preserve">The </w:t>
      </w:r>
      <w:r w:rsidR="002130ED">
        <w:rPr>
          <w:rStyle w:val="ReportTemplate"/>
        </w:rPr>
        <w:t xml:space="preserve">action </w:t>
      </w:r>
      <w:r w:rsidR="00226A91" w:rsidRPr="00226A91">
        <w:rPr>
          <w:rStyle w:val="ReportTemplate"/>
        </w:rPr>
        <w:t>p</w:t>
      </w:r>
      <w:r w:rsidRPr="00226A91">
        <w:rPr>
          <w:rStyle w:val="ReportTemplate"/>
        </w:rPr>
        <w:t xml:space="preserve">lan includes </w:t>
      </w:r>
      <w:r w:rsidR="00226A91" w:rsidRPr="00226A91">
        <w:rPr>
          <w:rStyle w:val="ReportTemplate"/>
        </w:rPr>
        <w:t xml:space="preserve">actions such as </w:t>
      </w:r>
      <w:r w:rsidRPr="00226A91">
        <w:rPr>
          <w:rStyle w:val="ReportTemplate"/>
        </w:rPr>
        <w:t>o</w:t>
      </w:r>
      <w:r w:rsidRPr="00226A91">
        <w:t>ffering to provide feedback to full council/front-line councillors</w:t>
      </w:r>
      <w:r w:rsidR="00000F9D">
        <w:t>,</w:t>
      </w:r>
      <w:r w:rsidRPr="00226A91">
        <w:t xml:space="preserve"> from peer review work in councils, as well as continuing with initiatives such as </w:t>
      </w:r>
      <w:r w:rsidR="008118F4" w:rsidRPr="00226A91">
        <w:rPr>
          <w:rStyle w:val="ReportTemplate"/>
        </w:rPr>
        <w:t>free places for frontline councillors at the LGA annual conference, allocated through the group offices</w:t>
      </w:r>
      <w:r w:rsidRPr="00226A91">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09AE87AD" w14:textId="77777777" w:rsidR="009B6F95" w:rsidRPr="008118F4" w:rsidRDefault="00202CEC" w:rsidP="00CD1B5B">
          <w:pPr>
            <w:spacing w:before="240" w:after="240"/>
            <w:rPr>
              <w:rStyle w:val="ReportTemplate"/>
            </w:rPr>
          </w:pPr>
          <w:r w:rsidRPr="008118F4">
            <w:rPr>
              <w:rStyle w:val="Style6"/>
            </w:rPr>
            <w:t>Summary of results</w:t>
          </w:r>
        </w:p>
      </w:sdtContent>
    </w:sdt>
    <w:p w14:paraId="0797BA17" w14:textId="0E59EA6D" w:rsidR="00CD1B5B" w:rsidRPr="008118F4" w:rsidRDefault="00CD1B5B" w:rsidP="00CD1B5B">
      <w:pPr>
        <w:spacing w:before="240" w:after="240"/>
        <w:rPr>
          <w:rStyle w:val="ReportTemplate"/>
          <w:u w:val="single"/>
        </w:rPr>
      </w:pPr>
      <w:r w:rsidRPr="008118F4">
        <w:rPr>
          <w:rStyle w:val="ReportTemplate"/>
          <w:u w:val="single"/>
        </w:rPr>
        <w:t xml:space="preserve">Views on the LGA </w:t>
      </w:r>
    </w:p>
    <w:p w14:paraId="62CAA758" w14:textId="77777777" w:rsidR="0043075B" w:rsidRPr="008118F4" w:rsidRDefault="00B84844" w:rsidP="00CD1B5B">
      <w:pPr>
        <w:pStyle w:val="ListParagraph"/>
        <w:spacing w:before="240" w:after="240"/>
        <w:contextualSpacing w:val="0"/>
        <w:rPr>
          <w:rStyle w:val="ReportTemplate"/>
        </w:rPr>
      </w:pPr>
      <w:r w:rsidRPr="008118F4">
        <w:rPr>
          <w:rStyle w:val="ReportTemplate"/>
        </w:rPr>
        <w:t>Overall, the 201</w:t>
      </w:r>
      <w:r w:rsidR="0043075B" w:rsidRPr="008118F4">
        <w:rPr>
          <w:rStyle w:val="ReportTemplate"/>
        </w:rPr>
        <w:t>7</w:t>
      </w:r>
      <w:r w:rsidR="00333FDD" w:rsidRPr="008118F4">
        <w:rPr>
          <w:rStyle w:val="ReportTemplate"/>
        </w:rPr>
        <w:t>/18</w:t>
      </w:r>
      <w:r w:rsidRPr="008118F4">
        <w:rPr>
          <w:rStyle w:val="ReportTemplate"/>
        </w:rPr>
        <w:t xml:space="preserve"> results </w:t>
      </w:r>
      <w:r w:rsidR="00CD1B5B" w:rsidRPr="008118F4">
        <w:rPr>
          <w:rStyle w:val="ReportTemplate"/>
        </w:rPr>
        <w:t xml:space="preserve">are positive, and broadly consistent with last year. The results </w:t>
      </w:r>
      <w:r w:rsidRPr="008118F4">
        <w:rPr>
          <w:rStyle w:val="ReportTemplate"/>
        </w:rPr>
        <w:t xml:space="preserve">show </w:t>
      </w:r>
      <w:r w:rsidR="0043075B" w:rsidRPr="008118F4">
        <w:rPr>
          <w:rStyle w:val="ReportTemplate"/>
        </w:rPr>
        <w:t>that r</w:t>
      </w:r>
      <w:r w:rsidRPr="008118F4">
        <w:rPr>
          <w:rStyle w:val="ReportTemplate"/>
        </w:rPr>
        <w:t xml:space="preserve">espondents have a high level of awareness of the LGA and the work we undertake on their behalf; there are high levels of advocacy (those who would </w:t>
      </w:r>
      <w:r w:rsidR="0043075B" w:rsidRPr="008118F4">
        <w:rPr>
          <w:rStyle w:val="ReportTemplate"/>
        </w:rPr>
        <w:t>speak positively about the LGA) and</w:t>
      </w:r>
      <w:r w:rsidRPr="008118F4">
        <w:rPr>
          <w:rStyle w:val="ReportTemplate"/>
        </w:rPr>
        <w:t xml:space="preserve"> satisfaction with th</w:t>
      </w:r>
      <w:r w:rsidR="0043075B" w:rsidRPr="008118F4">
        <w:rPr>
          <w:rStyle w:val="ReportTemplate"/>
        </w:rPr>
        <w:t>e work of the LGA remains high.</w:t>
      </w:r>
    </w:p>
    <w:p w14:paraId="2D43BCCF" w14:textId="1C6A4654" w:rsidR="00B129FA" w:rsidRPr="0063416A" w:rsidRDefault="0043075B" w:rsidP="0063416A">
      <w:pPr>
        <w:pStyle w:val="ListParagraph"/>
        <w:spacing w:before="240" w:after="240"/>
        <w:contextualSpacing w:val="0"/>
        <w:rPr>
          <w:rStyle w:val="ReportTemplate"/>
        </w:rPr>
      </w:pPr>
      <w:r w:rsidRPr="008118F4">
        <w:rPr>
          <w:rStyle w:val="ReportTemplate"/>
        </w:rPr>
        <w:fldChar w:fldCharType="begin"/>
      </w:r>
      <w:r w:rsidRPr="008118F4">
        <w:rPr>
          <w:rStyle w:val="ReportTemplate"/>
        </w:rPr>
        <w:instrText xml:space="preserve"> REF _Ref508973613 \h  \* MERGEFORMAT </w:instrText>
      </w:r>
      <w:r w:rsidRPr="008118F4">
        <w:rPr>
          <w:rStyle w:val="ReportTemplate"/>
        </w:rPr>
      </w:r>
      <w:r w:rsidRPr="008118F4">
        <w:rPr>
          <w:rStyle w:val="ReportTemplate"/>
        </w:rPr>
        <w:fldChar w:fldCharType="separate"/>
      </w:r>
      <w:r w:rsidR="00B270E5" w:rsidRPr="008118F4">
        <w:rPr>
          <w:rStyle w:val="ReportTemplate"/>
        </w:rPr>
        <w:t>Table 1</w:t>
      </w:r>
      <w:r w:rsidRPr="008118F4">
        <w:rPr>
          <w:rStyle w:val="ReportTemplate"/>
        </w:rPr>
        <w:fldChar w:fldCharType="end"/>
      </w:r>
      <w:r w:rsidR="008118F4" w:rsidRPr="008118F4">
        <w:rPr>
          <w:rStyle w:val="ReportTemplate"/>
        </w:rPr>
        <w:t xml:space="preserve"> </w:t>
      </w:r>
      <w:r w:rsidR="008118F4">
        <w:rPr>
          <w:rStyle w:val="ReportTemplate"/>
        </w:rPr>
        <w:t>and Figure 1</w:t>
      </w:r>
      <w:r w:rsidR="008118F4" w:rsidRPr="0043075B">
        <w:rPr>
          <w:rStyle w:val="ReportTemplate"/>
        </w:rPr>
        <w:t xml:space="preserve"> below</w:t>
      </w:r>
      <w:r w:rsidR="007D64C7" w:rsidRPr="008118F4">
        <w:rPr>
          <w:rStyle w:val="ReportTemplate"/>
        </w:rPr>
        <w:t xml:space="preserve"> </w:t>
      </w:r>
      <w:r w:rsidRPr="008118F4">
        <w:rPr>
          <w:rStyle w:val="ReportTemplate"/>
        </w:rPr>
        <w:t>show how key results have changed since 2012.</w:t>
      </w:r>
      <w:r w:rsidR="003B7086" w:rsidRPr="008118F4">
        <w:rPr>
          <w:rStyle w:val="FootnoteReference"/>
        </w:rPr>
        <w:footnoteReference w:id="1"/>
      </w:r>
      <w:r w:rsidRPr="008118F4">
        <w:rPr>
          <w:rStyle w:val="ReportTemplate"/>
        </w:rPr>
        <w:t xml:space="preserve"> All of the categories in Table 1 have seen a significant increase since the first wave of the survey in 2012. Most notably, there has been a 19 percentage point increase in the proportion who think that sector-led improvement is the right approach in the current context, and a </w:t>
      </w:r>
      <w:r w:rsidRPr="008118F4">
        <w:rPr>
          <w:rStyle w:val="ReportTemplate"/>
        </w:rPr>
        <w:lastRenderedPageBreak/>
        <w:t xml:space="preserve">16 percentage point increase in the proportion saying that the LGA demonstrates value for money. </w:t>
      </w:r>
    </w:p>
    <w:p w14:paraId="5C6C5DD9" w14:textId="54B82118" w:rsidR="00B129FA" w:rsidRDefault="00746456" w:rsidP="008118F4">
      <w:pPr>
        <w:pStyle w:val="Caption"/>
        <w:spacing w:after="0"/>
        <w:rPr>
          <w:rFonts w:ascii="Arial" w:hAnsi="Arial" w:cs="Arial"/>
        </w:rPr>
      </w:pPr>
      <w:bookmarkStart w:id="0" w:name="_Ref508973613"/>
      <w:r w:rsidRPr="008118F4">
        <w:rPr>
          <w:rFonts w:ascii="Arial" w:hAnsi="Arial" w:cs="Arial"/>
        </w:rPr>
        <w:t xml:space="preserve">Table </w:t>
      </w:r>
      <w:r w:rsidRPr="008118F4">
        <w:rPr>
          <w:rFonts w:ascii="Arial" w:hAnsi="Arial" w:cs="Arial"/>
        </w:rPr>
        <w:fldChar w:fldCharType="begin"/>
      </w:r>
      <w:r w:rsidRPr="008118F4">
        <w:rPr>
          <w:rFonts w:ascii="Arial" w:hAnsi="Arial" w:cs="Arial"/>
        </w:rPr>
        <w:instrText xml:space="preserve"> SEQ Table \* ARABIC </w:instrText>
      </w:r>
      <w:r w:rsidRPr="008118F4">
        <w:rPr>
          <w:rFonts w:ascii="Arial" w:hAnsi="Arial" w:cs="Arial"/>
        </w:rPr>
        <w:fldChar w:fldCharType="separate"/>
      </w:r>
      <w:r w:rsidR="00B270E5" w:rsidRPr="008118F4">
        <w:rPr>
          <w:rFonts w:ascii="Arial" w:hAnsi="Arial" w:cs="Arial"/>
          <w:noProof/>
        </w:rPr>
        <w:t>1</w:t>
      </w:r>
      <w:r w:rsidRPr="008118F4">
        <w:rPr>
          <w:rFonts w:ascii="Arial" w:hAnsi="Arial" w:cs="Arial"/>
          <w:noProof/>
        </w:rPr>
        <w:fldChar w:fldCharType="end"/>
      </w:r>
      <w:bookmarkEnd w:id="0"/>
      <w:r w:rsidRPr="008118F4">
        <w:rPr>
          <w:rFonts w:ascii="Arial" w:hAnsi="Arial" w:cs="Arial"/>
        </w:rPr>
        <w:t>: Summary of positive responses given for key measures</w:t>
      </w:r>
    </w:p>
    <w:p w14:paraId="211639B8" w14:textId="77777777" w:rsidR="00C803BD" w:rsidRPr="00C803BD" w:rsidRDefault="00C803BD" w:rsidP="00C803BD"/>
    <w:tbl>
      <w:tblPr>
        <w:tblStyle w:val="BMGTable"/>
        <w:tblW w:w="5661" w:type="pct"/>
        <w:jc w:val="center"/>
        <w:tblLook w:val="04A0" w:firstRow="1" w:lastRow="0" w:firstColumn="1" w:lastColumn="0" w:noHBand="0" w:noVBand="1"/>
      </w:tblPr>
      <w:tblGrid>
        <w:gridCol w:w="3108"/>
        <w:gridCol w:w="993"/>
        <w:gridCol w:w="991"/>
        <w:gridCol w:w="993"/>
        <w:gridCol w:w="922"/>
        <w:gridCol w:w="1063"/>
        <w:gridCol w:w="995"/>
        <w:gridCol w:w="1132"/>
      </w:tblGrid>
      <w:tr w:rsidR="00C803BD" w:rsidRPr="008118F4" w14:paraId="15C63C53" w14:textId="77777777" w:rsidTr="00C803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4" w:type="pct"/>
            <w:tcBorders>
              <w:bottom w:val="single" w:sz="4" w:space="0" w:color="auto"/>
            </w:tcBorders>
            <w:shd w:val="clear" w:color="auto" w:fill="91278E"/>
          </w:tcPr>
          <w:p w14:paraId="4EBB4E27" w14:textId="77777777" w:rsidR="00746456" w:rsidRPr="008118F4" w:rsidRDefault="00746456" w:rsidP="00B83A60">
            <w:pPr>
              <w:pStyle w:val="BodyText"/>
              <w:spacing w:before="40" w:after="40" w:line="240" w:lineRule="auto"/>
              <w:ind w:left="0"/>
              <w:jc w:val="center"/>
              <w:rPr>
                <w:rFonts w:ascii="Arial" w:hAnsi="Arial" w:cs="Arial"/>
                <w:szCs w:val="20"/>
              </w:rPr>
            </w:pPr>
            <w:r w:rsidRPr="008118F4">
              <w:rPr>
                <w:rFonts w:ascii="Arial" w:hAnsi="Arial" w:cs="Arial"/>
                <w:szCs w:val="20"/>
              </w:rPr>
              <w:t>Question</w:t>
            </w:r>
          </w:p>
        </w:tc>
        <w:tc>
          <w:tcPr>
            <w:tcW w:w="487" w:type="pct"/>
            <w:tcBorders>
              <w:bottom w:val="single" w:sz="4" w:space="0" w:color="auto"/>
            </w:tcBorders>
            <w:shd w:val="clear" w:color="auto" w:fill="91278E"/>
          </w:tcPr>
          <w:p w14:paraId="02B2016B"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2012</w:t>
            </w:r>
          </w:p>
        </w:tc>
        <w:tc>
          <w:tcPr>
            <w:tcW w:w="486" w:type="pct"/>
            <w:tcBorders>
              <w:bottom w:val="single" w:sz="4" w:space="0" w:color="auto"/>
            </w:tcBorders>
            <w:shd w:val="clear" w:color="auto" w:fill="91278E"/>
          </w:tcPr>
          <w:p w14:paraId="01ED11C8"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2013</w:t>
            </w:r>
          </w:p>
        </w:tc>
        <w:tc>
          <w:tcPr>
            <w:tcW w:w="487" w:type="pct"/>
            <w:tcBorders>
              <w:bottom w:val="single" w:sz="4" w:space="0" w:color="auto"/>
            </w:tcBorders>
            <w:shd w:val="clear" w:color="auto" w:fill="91278E"/>
          </w:tcPr>
          <w:p w14:paraId="7ECFEA11"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2014</w:t>
            </w:r>
          </w:p>
        </w:tc>
        <w:tc>
          <w:tcPr>
            <w:tcW w:w="452" w:type="pct"/>
            <w:tcBorders>
              <w:bottom w:val="single" w:sz="4" w:space="0" w:color="auto"/>
            </w:tcBorders>
            <w:shd w:val="clear" w:color="auto" w:fill="91278E"/>
          </w:tcPr>
          <w:p w14:paraId="095378CC"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2015</w:t>
            </w:r>
          </w:p>
        </w:tc>
        <w:tc>
          <w:tcPr>
            <w:tcW w:w="521" w:type="pct"/>
            <w:tcBorders>
              <w:bottom w:val="single" w:sz="4" w:space="0" w:color="auto"/>
            </w:tcBorders>
            <w:shd w:val="clear" w:color="auto" w:fill="91278E"/>
          </w:tcPr>
          <w:p w14:paraId="624DE839"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2016</w:t>
            </w:r>
          </w:p>
        </w:tc>
        <w:tc>
          <w:tcPr>
            <w:tcW w:w="488" w:type="pct"/>
            <w:tcBorders>
              <w:bottom w:val="single" w:sz="4" w:space="0" w:color="auto"/>
            </w:tcBorders>
            <w:shd w:val="clear" w:color="auto" w:fill="91278E"/>
          </w:tcPr>
          <w:p w14:paraId="61D2C2CC"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2017</w:t>
            </w:r>
          </w:p>
        </w:tc>
        <w:tc>
          <w:tcPr>
            <w:tcW w:w="555" w:type="pct"/>
            <w:tcBorders>
              <w:bottom w:val="single" w:sz="4" w:space="0" w:color="auto"/>
            </w:tcBorders>
            <w:shd w:val="clear" w:color="auto" w:fill="91278E"/>
          </w:tcPr>
          <w:p w14:paraId="6D88021E" w14:textId="77777777" w:rsidR="00746456" w:rsidRPr="008118F4"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18F4">
              <w:rPr>
                <w:rFonts w:ascii="Arial" w:hAnsi="Arial" w:cs="Arial"/>
                <w:szCs w:val="20"/>
              </w:rPr>
              <w:t>Change from 2016</w:t>
            </w:r>
          </w:p>
        </w:tc>
      </w:tr>
      <w:tr w:rsidR="00C803BD" w:rsidRPr="008118F4" w14:paraId="4388A66C" w14:textId="77777777" w:rsidTr="00C80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4" w:type="pct"/>
            <w:tcBorders>
              <w:top w:val="single" w:sz="4" w:space="0" w:color="auto"/>
              <w:left w:val="single" w:sz="4" w:space="0" w:color="auto"/>
              <w:bottom w:val="single" w:sz="4" w:space="0" w:color="auto"/>
              <w:right w:val="single" w:sz="4" w:space="0" w:color="auto"/>
            </w:tcBorders>
          </w:tcPr>
          <w:p w14:paraId="710506B4" w14:textId="77777777" w:rsidR="00746456" w:rsidRPr="008118F4" w:rsidRDefault="00746456" w:rsidP="00B83A60">
            <w:pPr>
              <w:pStyle w:val="BodyText"/>
              <w:spacing w:before="40" w:after="40" w:line="240" w:lineRule="auto"/>
              <w:ind w:left="0"/>
              <w:rPr>
                <w:rFonts w:ascii="Arial" w:hAnsi="Arial" w:cs="Arial"/>
                <w:b w:val="0"/>
                <w:szCs w:val="20"/>
              </w:rPr>
            </w:pPr>
            <w:r w:rsidRPr="008118F4">
              <w:rPr>
                <w:rFonts w:ascii="Arial" w:hAnsi="Arial" w:cs="Arial"/>
                <w:b w:val="0"/>
                <w:szCs w:val="20"/>
              </w:rPr>
              <w:t xml:space="preserve">How well do you know the LGA? </w:t>
            </w:r>
          </w:p>
        </w:tc>
        <w:tc>
          <w:tcPr>
            <w:tcW w:w="487" w:type="pct"/>
            <w:tcBorders>
              <w:top w:val="single" w:sz="4" w:space="0" w:color="auto"/>
              <w:left w:val="single" w:sz="4" w:space="0" w:color="auto"/>
              <w:bottom w:val="single" w:sz="4" w:space="0" w:color="auto"/>
              <w:right w:val="single" w:sz="4" w:space="0" w:color="auto"/>
            </w:tcBorders>
          </w:tcPr>
          <w:p w14:paraId="68DF1D53"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62%</w:t>
            </w:r>
          </w:p>
        </w:tc>
        <w:tc>
          <w:tcPr>
            <w:tcW w:w="486" w:type="pct"/>
            <w:tcBorders>
              <w:top w:val="single" w:sz="4" w:space="0" w:color="auto"/>
              <w:left w:val="single" w:sz="4" w:space="0" w:color="auto"/>
              <w:bottom w:val="single" w:sz="4" w:space="0" w:color="auto"/>
              <w:right w:val="single" w:sz="4" w:space="0" w:color="auto"/>
            </w:tcBorders>
          </w:tcPr>
          <w:p w14:paraId="5274F5C2"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72%</w:t>
            </w:r>
          </w:p>
        </w:tc>
        <w:tc>
          <w:tcPr>
            <w:tcW w:w="487" w:type="pct"/>
            <w:tcBorders>
              <w:top w:val="single" w:sz="4" w:space="0" w:color="auto"/>
              <w:left w:val="single" w:sz="4" w:space="0" w:color="auto"/>
              <w:bottom w:val="single" w:sz="4" w:space="0" w:color="auto"/>
              <w:right w:val="single" w:sz="4" w:space="0" w:color="auto"/>
            </w:tcBorders>
          </w:tcPr>
          <w:p w14:paraId="6C04EFF0"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73%</w:t>
            </w:r>
          </w:p>
        </w:tc>
        <w:tc>
          <w:tcPr>
            <w:tcW w:w="452" w:type="pct"/>
            <w:tcBorders>
              <w:top w:val="single" w:sz="4" w:space="0" w:color="auto"/>
              <w:left w:val="single" w:sz="4" w:space="0" w:color="auto"/>
              <w:bottom w:val="single" w:sz="4" w:space="0" w:color="auto"/>
              <w:right w:val="single" w:sz="4" w:space="0" w:color="auto"/>
            </w:tcBorders>
          </w:tcPr>
          <w:p w14:paraId="1475A993"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73%</w:t>
            </w:r>
          </w:p>
        </w:tc>
        <w:tc>
          <w:tcPr>
            <w:tcW w:w="521" w:type="pct"/>
            <w:tcBorders>
              <w:top w:val="single" w:sz="4" w:space="0" w:color="auto"/>
              <w:left w:val="single" w:sz="4" w:space="0" w:color="auto"/>
              <w:bottom w:val="single" w:sz="4" w:space="0" w:color="auto"/>
              <w:right w:val="single" w:sz="4" w:space="0" w:color="auto"/>
            </w:tcBorders>
          </w:tcPr>
          <w:p w14:paraId="00F728B9"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75%</w:t>
            </w:r>
          </w:p>
        </w:tc>
        <w:tc>
          <w:tcPr>
            <w:tcW w:w="488" w:type="pct"/>
            <w:tcBorders>
              <w:top w:val="single" w:sz="4" w:space="0" w:color="auto"/>
              <w:left w:val="single" w:sz="4" w:space="0" w:color="auto"/>
              <w:bottom w:val="single" w:sz="4" w:space="0" w:color="auto"/>
              <w:right w:val="single" w:sz="4" w:space="0" w:color="auto"/>
            </w:tcBorders>
          </w:tcPr>
          <w:p w14:paraId="24E1FD27"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73%</w:t>
            </w:r>
          </w:p>
        </w:tc>
        <w:tc>
          <w:tcPr>
            <w:tcW w:w="555" w:type="pct"/>
            <w:tcBorders>
              <w:top w:val="single" w:sz="4" w:space="0" w:color="auto"/>
              <w:left w:val="single" w:sz="4" w:space="0" w:color="auto"/>
              <w:bottom w:val="single" w:sz="4" w:space="0" w:color="auto"/>
              <w:right w:val="single" w:sz="4" w:space="0" w:color="auto"/>
            </w:tcBorders>
          </w:tcPr>
          <w:p w14:paraId="0CB980A3"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8118F4">
              <w:rPr>
                <w:rFonts w:cs="Arial"/>
                <w:b/>
                <w:color w:val="000000"/>
                <w:szCs w:val="20"/>
              </w:rPr>
              <w:t>-2</w:t>
            </w:r>
          </w:p>
        </w:tc>
      </w:tr>
      <w:tr w:rsidR="00C803BD" w:rsidRPr="008118F4" w14:paraId="72C52471" w14:textId="77777777" w:rsidTr="00C803BD">
        <w:trPr>
          <w:jc w:val="center"/>
        </w:trPr>
        <w:tc>
          <w:tcPr>
            <w:cnfStyle w:val="001000000000" w:firstRow="0" w:lastRow="0" w:firstColumn="1" w:lastColumn="0" w:oddVBand="0" w:evenVBand="0" w:oddHBand="0" w:evenHBand="0" w:firstRowFirstColumn="0" w:firstRowLastColumn="0" w:lastRowFirstColumn="0" w:lastRowLastColumn="0"/>
            <w:tcW w:w="1524" w:type="pct"/>
            <w:tcBorders>
              <w:top w:val="single" w:sz="4" w:space="0" w:color="auto"/>
              <w:left w:val="single" w:sz="4" w:space="0" w:color="auto"/>
              <w:bottom w:val="single" w:sz="4" w:space="0" w:color="auto"/>
              <w:right w:val="single" w:sz="4" w:space="0" w:color="auto"/>
            </w:tcBorders>
          </w:tcPr>
          <w:p w14:paraId="6C655E14" w14:textId="77777777" w:rsidR="00746456" w:rsidRPr="008118F4" w:rsidRDefault="00746456" w:rsidP="00B83A60">
            <w:pPr>
              <w:pStyle w:val="BodyText"/>
              <w:spacing w:before="40" w:after="40" w:line="240" w:lineRule="auto"/>
              <w:ind w:left="0"/>
              <w:rPr>
                <w:rFonts w:ascii="Arial" w:hAnsi="Arial" w:cs="Arial"/>
                <w:b w:val="0"/>
                <w:szCs w:val="20"/>
              </w:rPr>
            </w:pPr>
            <w:r w:rsidRPr="008118F4">
              <w:rPr>
                <w:rFonts w:ascii="Arial" w:hAnsi="Arial" w:cs="Arial"/>
                <w:b w:val="0"/>
                <w:szCs w:val="20"/>
              </w:rPr>
              <w:t xml:space="preserve">I would speak positively about the LGA </w:t>
            </w:r>
          </w:p>
        </w:tc>
        <w:tc>
          <w:tcPr>
            <w:tcW w:w="487" w:type="pct"/>
            <w:tcBorders>
              <w:top w:val="single" w:sz="4" w:space="0" w:color="auto"/>
              <w:left w:val="single" w:sz="4" w:space="0" w:color="auto"/>
              <w:bottom w:val="single" w:sz="4" w:space="0" w:color="auto"/>
              <w:right w:val="single" w:sz="4" w:space="0" w:color="auto"/>
            </w:tcBorders>
          </w:tcPr>
          <w:p w14:paraId="07D70986"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63%</w:t>
            </w:r>
          </w:p>
        </w:tc>
        <w:tc>
          <w:tcPr>
            <w:tcW w:w="486" w:type="pct"/>
            <w:tcBorders>
              <w:top w:val="single" w:sz="4" w:space="0" w:color="auto"/>
              <w:left w:val="single" w:sz="4" w:space="0" w:color="auto"/>
              <w:bottom w:val="single" w:sz="4" w:space="0" w:color="auto"/>
              <w:right w:val="single" w:sz="4" w:space="0" w:color="auto"/>
            </w:tcBorders>
          </w:tcPr>
          <w:p w14:paraId="5F950EA7"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73%</w:t>
            </w:r>
          </w:p>
        </w:tc>
        <w:tc>
          <w:tcPr>
            <w:tcW w:w="487" w:type="pct"/>
            <w:tcBorders>
              <w:top w:val="single" w:sz="4" w:space="0" w:color="auto"/>
              <w:left w:val="single" w:sz="4" w:space="0" w:color="auto"/>
              <w:bottom w:val="single" w:sz="4" w:space="0" w:color="auto"/>
              <w:right w:val="single" w:sz="4" w:space="0" w:color="auto"/>
            </w:tcBorders>
          </w:tcPr>
          <w:p w14:paraId="7460069D"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72%</w:t>
            </w:r>
          </w:p>
        </w:tc>
        <w:tc>
          <w:tcPr>
            <w:tcW w:w="452" w:type="pct"/>
            <w:tcBorders>
              <w:top w:val="single" w:sz="4" w:space="0" w:color="auto"/>
              <w:left w:val="single" w:sz="4" w:space="0" w:color="auto"/>
              <w:bottom w:val="single" w:sz="4" w:space="0" w:color="auto"/>
              <w:right w:val="single" w:sz="4" w:space="0" w:color="auto"/>
            </w:tcBorders>
          </w:tcPr>
          <w:p w14:paraId="22EAAF18"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74%</w:t>
            </w:r>
          </w:p>
        </w:tc>
        <w:tc>
          <w:tcPr>
            <w:tcW w:w="521" w:type="pct"/>
            <w:tcBorders>
              <w:top w:val="single" w:sz="4" w:space="0" w:color="auto"/>
              <w:left w:val="single" w:sz="4" w:space="0" w:color="auto"/>
              <w:bottom w:val="single" w:sz="4" w:space="0" w:color="auto"/>
              <w:right w:val="single" w:sz="4" w:space="0" w:color="auto"/>
            </w:tcBorders>
          </w:tcPr>
          <w:p w14:paraId="204C0184"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74%</w:t>
            </w:r>
          </w:p>
        </w:tc>
        <w:tc>
          <w:tcPr>
            <w:tcW w:w="488" w:type="pct"/>
            <w:tcBorders>
              <w:top w:val="single" w:sz="4" w:space="0" w:color="auto"/>
              <w:left w:val="single" w:sz="4" w:space="0" w:color="auto"/>
              <w:bottom w:val="single" w:sz="4" w:space="0" w:color="auto"/>
              <w:right w:val="single" w:sz="4" w:space="0" w:color="auto"/>
            </w:tcBorders>
          </w:tcPr>
          <w:p w14:paraId="1EE2D79B"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73%</w:t>
            </w:r>
          </w:p>
        </w:tc>
        <w:tc>
          <w:tcPr>
            <w:tcW w:w="555" w:type="pct"/>
            <w:tcBorders>
              <w:top w:val="single" w:sz="4" w:space="0" w:color="auto"/>
              <w:left w:val="single" w:sz="4" w:space="0" w:color="auto"/>
              <w:bottom w:val="single" w:sz="4" w:space="0" w:color="auto"/>
              <w:right w:val="single" w:sz="4" w:space="0" w:color="auto"/>
            </w:tcBorders>
          </w:tcPr>
          <w:p w14:paraId="7F76270D"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8118F4">
              <w:rPr>
                <w:rFonts w:cs="Arial"/>
                <w:b/>
                <w:color w:val="000000"/>
                <w:szCs w:val="20"/>
              </w:rPr>
              <w:t>-1</w:t>
            </w:r>
          </w:p>
        </w:tc>
      </w:tr>
      <w:tr w:rsidR="00C803BD" w:rsidRPr="008118F4" w14:paraId="6D8D9F47" w14:textId="77777777" w:rsidTr="00C80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4" w:type="pct"/>
            <w:tcBorders>
              <w:top w:val="single" w:sz="4" w:space="0" w:color="auto"/>
              <w:left w:val="single" w:sz="4" w:space="0" w:color="auto"/>
              <w:bottom w:val="single" w:sz="4" w:space="0" w:color="auto"/>
              <w:right w:val="single" w:sz="4" w:space="0" w:color="auto"/>
            </w:tcBorders>
          </w:tcPr>
          <w:p w14:paraId="1013F3AC" w14:textId="77777777" w:rsidR="00746456" w:rsidRPr="008118F4" w:rsidRDefault="00746456" w:rsidP="00B83A60">
            <w:pPr>
              <w:pStyle w:val="BodyText"/>
              <w:spacing w:before="40" w:after="40" w:line="240" w:lineRule="auto"/>
              <w:ind w:left="0"/>
              <w:rPr>
                <w:rFonts w:ascii="Arial" w:hAnsi="Arial" w:cs="Arial"/>
                <w:b w:val="0"/>
                <w:szCs w:val="20"/>
              </w:rPr>
            </w:pPr>
            <w:r w:rsidRPr="008118F4">
              <w:rPr>
                <w:rFonts w:ascii="Arial" w:hAnsi="Arial" w:cs="Arial"/>
                <w:b w:val="0"/>
                <w:szCs w:val="20"/>
              </w:rPr>
              <w:t>Satisfied with the work of the LGA</w:t>
            </w:r>
          </w:p>
        </w:tc>
        <w:tc>
          <w:tcPr>
            <w:tcW w:w="487" w:type="pct"/>
            <w:tcBorders>
              <w:top w:val="single" w:sz="4" w:space="0" w:color="auto"/>
              <w:left w:val="single" w:sz="4" w:space="0" w:color="auto"/>
              <w:bottom w:val="single" w:sz="4" w:space="0" w:color="auto"/>
              <w:right w:val="single" w:sz="4" w:space="0" w:color="auto"/>
            </w:tcBorders>
          </w:tcPr>
          <w:p w14:paraId="6877C142"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63%</w:t>
            </w:r>
          </w:p>
        </w:tc>
        <w:tc>
          <w:tcPr>
            <w:tcW w:w="486" w:type="pct"/>
            <w:tcBorders>
              <w:top w:val="single" w:sz="4" w:space="0" w:color="auto"/>
              <w:left w:val="single" w:sz="4" w:space="0" w:color="auto"/>
              <w:bottom w:val="single" w:sz="4" w:space="0" w:color="auto"/>
              <w:right w:val="single" w:sz="4" w:space="0" w:color="auto"/>
            </w:tcBorders>
          </w:tcPr>
          <w:p w14:paraId="553DEE85"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70%</w:t>
            </w:r>
          </w:p>
        </w:tc>
        <w:tc>
          <w:tcPr>
            <w:tcW w:w="487" w:type="pct"/>
            <w:tcBorders>
              <w:top w:val="single" w:sz="4" w:space="0" w:color="auto"/>
              <w:left w:val="single" w:sz="4" w:space="0" w:color="auto"/>
              <w:bottom w:val="single" w:sz="4" w:space="0" w:color="auto"/>
              <w:right w:val="single" w:sz="4" w:space="0" w:color="auto"/>
            </w:tcBorders>
          </w:tcPr>
          <w:p w14:paraId="43F45396"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75%</w:t>
            </w:r>
          </w:p>
        </w:tc>
        <w:tc>
          <w:tcPr>
            <w:tcW w:w="452" w:type="pct"/>
            <w:tcBorders>
              <w:top w:val="single" w:sz="4" w:space="0" w:color="auto"/>
              <w:left w:val="single" w:sz="4" w:space="0" w:color="auto"/>
              <w:bottom w:val="single" w:sz="4" w:space="0" w:color="auto"/>
              <w:right w:val="single" w:sz="4" w:space="0" w:color="auto"/>
            </w:tcBorders>
          </w:tcPr>
          <w:p w14:paraId="0F377138"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76%</w:t>
            </w:r>
          </w:p>
        </w:tc>
        <w:tc>
          <w:tcPr>
            <w:tcW w:w="521" w:type="pct"/>
            <w:tcBorders>
              <w:top w:val="single" w:sz="4" w:space="0" w:color="auto"/>
              <w:left w:val="single" w:sz="4" w:space="0" w:color="auto"/>
              <w:bottom w:val="single" w:sz="4" w:space="0" w:color="auto"/>
              <w:right w:val="single" w:sz="4" w:space="0" w:color="auto"/>
            </w:tcBorders>
          </w:tcPr>
          <w:p w14:paraId="5CFF2F02"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73%</w:t>
            </w:r>
          </w:p>
        </w:tc>
        <w:tc>
          <w:tcPr>
            <w:tcW w:w="488" w:type="pct"/>
            <w:tcBorders>
              <w:top w:val="single" w:sz="4" w:space="0" w:color="auto"/>
              <w:left w:val="single" w:sz="4" w:space="0" w:color="auto"/>
              <w:bottom w:val="single" w:sz="4" w:space="0" w:color="auto"/>
              <w:right w:val="single" w:sz="4" w:space="0" w:color="auto"/>
            </w:tcBorders>
          </w:tcPr>
          <w:p w14:paraId="44BB4C5F"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73%</w:t>
            </w:r>
          </w:p>
        </w:tc>
        <w:tc>
          <w:tcPr>
            <w:tcW w:w="555" w:type="pct"/>
            <w:tcBorders>
              <w:top w:val="single" w:sz="4" w:space="0" w:color="auto"/>
              <w:left w:val="single" w:sz="4" w:space="0" w:color="auto"/>
              <w:bottom w:val="single" w:sz="4" w:space="0" w:color="auto"/>
              <w:right w:val="single" w:sz="4" w:space="0" w:color="auto"/>
            </w:tcBorders>
          </w:tcPr>
          <w:p w14:paraId="606DC0E3"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8118F4">
              <w:rPr>
                <w:rFonts w:cs="Arial"/>
                <w:b/>
                <w:color w:val="000000"/>
                <w:szCs w:val="20"/>
              </w:rPr>
              <w:t>0</w:t>
            </w:r>
          </w:p>
        </w:tc>
      </w:tr>
      <w:tr w:rsidR="00C803BD" w:rsidRPr="008118F4" w14:paraId="4DAC6EC2" w14:textId="77777777" w:rsidTr="00C803BD">
        <w:trPr>
          <w:jc w:val="center"/>
        </w:trPr>
        <w:tc>
          <w:tcPr>
            <w:cnfStyle w:val="001000000000" w:firstRow="0" w:lastRow="0" w:firstColumn="1" w:lastColumn="0" w:oddVBand="0" w:evenVBand="0" w:oddHBand="0" w:evenHBand="0" w:firstRowFirstColumn="0" w:firstRowLastColumn="0" w:lastRowFirstColumn="0" w:lastRowLastColumn="0"/>
            <w:tcW w:w="1524" w:type="pct"/>
            <w:tcBorders>
              <w:top w:val="single" w:sz="4" w:space="0" w:color="auto"/>
              <w:left w:val="single" w:sz="4" w:space="0" w:color="auto"/>
              <w:bottom w:val="single" w:sz="4" w:space="0" w:color="auto"/>
              <w:right w:val="single" w:sz="4" w:space="0" w:color="auto"/>
            </w:tcBorders>
          </w:tcPr>
          <w:p w14:paraId="6D244653" w14:textId="77777777" w:rsidR="00746456" w:rsidRPr="008118F4" w:rsidRDefault="00746456" w:rsidP="00B83A60">
            <w:pPr>
              <w:pStyle w:val="BodyText"/>
              <w:spacing w:before="40" w:after="40" w:line="240" w:lineRule="auto"/>
              <w:ind w:left="0"/>
              <w:rPr>
                <w:rFonts w:ascii="Arial" w:hAnsi="Arial" w:cs="Arial"/>
                <w:b w:val="0"/>
                <w:szCs w:val="20"/>
              </w:rPr>
            </w:pPr>
            <w:r w:rsidRPr="008118F4">
              <w:rPr>
                <w:rFonts w:ascii="Arial" w:hAnsi="Arial" w:cs="Arial"/>
                <w:b w:val="0"/>
                <w:szCs w:val="20"/>
              </w:rPr>
              <w:t>The LGA keeps you informed about its work</w:t>
            </w:r>
          </w:p>
        </w:tc>
        <w:tc>
          <w:tcPr>
            <w:tcW w:w="487" w:type="pct"/>
            <w:tcBorders>
              <w:top w:val="single" w:sz="4" w:space="0" w:color="auto"/>
              <w:left w:val="single" w:sz="4" w:space="0" w:color="auto"/>
              <w:bottom w:val="single" w:sz="4" w:space="0" w:color="auto"/>
              <w:right w:val="single" w:sz="4" w:space="0" w:color="auto"/>
            </w:tcBorders>
          </w:tcPr>
          <w:p w14:paraId="23AACEC6"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69%</w:t>
            </w:r>
          </w:p>
        </w:tc>
        <w:tc>
          <w:tcPr>
            <w:tcW w:w="486" w:type="pct"/>
            <w:tcBorders>
              <w:top w:val="single" w:sz="4" w:space="0" w:color="auto"/>
              <w:left w:val="single" w:sz="4" w:space="0" w:color="auto"/>
              <w:bottom w:val="single" w:sz="4" w:space="0" w:color="auto"/>
              <w:right w:val="single" w:sz="4" w:space="0" w:color="auto"/>
            </w:tcBorders>
          </w:tcPr>
          <w:p w14:paraId="6ACB35B4"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78%</w:t>
            </w:r>
          </w:p>
        </w:tc>
        <w:tc>
          <w:tcPr>
            <w:tcW w:w="487" w:type="pct"/>
            <w:tcBorders>
              <w:top w:val="single" w:sz="4" w:space="0" w:color="auto"/>
              <w:left w:val="single" w:sz="4" w:space="0" w:color="auto"/>
              <w:bottom w:val="single" w:sz="4" w:space="0" w:color="auto"/>
              <w:right w:val="single" w:sz="4" w:space="0" w:color="auto"/>
            </w:tcBorders>
          </w:tcPr>
          <w:p w14:paraId="10D827F0"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79%</w:t>
            </w:r>
          </w:p>
        </w:tc>
        <w:tc>
          <w:tcPr>
            <w:tcW w:w="452" w:type="pct"/>
            <w:tcBorders>
              <w:top w:val="single" w:sz="4" w:space="0" w:color="auto"/>
              <w:left w:val="single" w:sz="4" w:space="0" w:color="auto"/>
              <w:bottom w:val="single" w:sz="4" w:space="0" w:color="auto"/>
              <w:right w:val="single" w:sz="4" w:space="0" w:color="auto"/>
            </w:tcBorders>
          </w:tcPr>
          <w:p w14:paraId="4F80EB3E"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84%</w:t>
            </w:r>
          </w:p>
        </w:tc>
        <w:tc>
          <w:tcPr>
            <w:tcW w:w="521" w:type="pct"/>
            <w:tcBorders>
              <w:top w:val="single" w:sz="4" w:space="0" w:color="auto"/>
              <w:left w:val="single" w:sz="4" w:space="0" w:color="auto"/>
              <w:bottom w:val="single" w:sz="4" w:space="0" w:color="auto"/>
              <w:right w:val="single" w:sz="4" w:space="0" w:color="auto"/>
            </w:tcBorders>
          </w:tcPr>
          <w:p w14:paraId="1FCD8730"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83%</w:t>
            </w:r>
          </w:p>
        </w:tc>
        <w:tc>
          <w:tcPr>
            <w:tcW w:w="488" w:type="pct"/>
            <w:tcBorders>
              <w:top w:val="single" w:sz="4" w:space="0" w:color="auto"/>
              <w:left w:val="single" w:sz="4" w:space="0" w:color="auto"/>
              <w:bottom w:val="single" w:sz="4" w:space="0" w:color="auto"/>
              <w:right w:val="single" w:sz="4" w:space="0" w:color="auto"/>
            </w:tcBorders>
          </w:tcPr>
          <w:p w14:paraId="2AC7F1DD"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80%</w:t>
            </w:r>
          </w:p>
        </w:tc>
        <w:tc>
          <w:tcPr>
            <w:tcW w:w="555" w:type="pct"/>
            <w:tcBorders>
              <w:top w:val="single" w:sz="4" w:space="0" w:color="auto"/>
              <w:left w:val="single" w:sz="4" w:space="0" w:color="auto"/>
              <w:bottom w:val="single" w:sz="4" w:space="0" w:color="auto"/>
              <w:right w:val="single" w:sz="4" w:space="0" w:color="auto"/>
            </w:tcBorders>
          </w:tcPr>
          <w:p w14:paraId="53967251"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8118F4">
              <w:rPr>
                <w:rFonts w:cs="Arial"/>
                <w:b/>
                <w:color w:val="000000"/>
                <w:szCs w:val="20"/>
              </w:rPr>
              <w:t>-3</w:t>
            </w:r>
          </w:p>
        </w:tc>
      </w:tr>
      <w:tr w:rsidR="00C803BD" w:rsidRPr="008118F4" w14:paraId="7C79C092" w14:textId="77777777" w:rsidTr="00C803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4" w:type="pct"/>
            <w:tcBorders>
              <w:top w:val="single" w:sz="4" w:space="0" w:color="auto"/>
              <w:left w:val="single" w:sz="4" w:space="0" w:color="auto"/>
              <w:bottom w:val="single" w:sz="4" w:space="0" w:color="auto"/>
              <w:right w:val="single" w:sz="4" w:space="0" w:color="auto"/>
            </w:tcBorders>
          </w:tcPr>
          <w:p w14:paraId="6B21E071" w14:textId="77777777" w:rsidR="00746456" w:rsidRPr="008118F4" w:rsidRDefault="00746456" w:rsidP="00B83A60">
            <w:pPr>
              <w:pStyle w:val="BodyText"/>
              <w:spacing w:before="40" w:after="40" w:line="240" w:lineRule="auto"/>
              <w:ind w:left="0"/>
              <w:rPr>
                <w:rFonts w:ascii="Arial" w:hAnsi="Arial" w:cs="Arial"/>
                <w:b w:val="0"/>
                <w:szCs w:val="20"/>
              </w:rPr>
            </w:pPr>
            <w:r w:rsidRPr="008118F4">
              <w:rPr>
                <w:rFonts w:ascii="Arial" w:hAnsi="Arial" w:cs="Arial"/>
                <w:b w:val="0"/>
                <w:szCs w:val="20"/>
              </w:rPr>
              <w:t>Sector-led improvement is the right approach in the current context</w:t>
            </w:r>
          </w:p>
        </w:tc>
        <w:tc>
          <w:tcPr>
            <w:tcW w:w="487" w:type="pct"/>
            <w:tcBorders>
              <w:top w:val="single" w:sz="4" w:space="0" w:color="auto"/>
              <w:left w:val="single" w:sz="4" w:space="0" w:color="auto"/>
              <w:bottom w:val="single" w:sz="4" w:space="0" w:color="auto"/>
              <w:right w:val="single" w:sz="4" w:space="0" w:color="auto"/>
            </w:tcBorders>
          </w:tcPr>
          <w:p w14:paraId="0DAC3256"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59%</w:t>
            </w:r>
          </w:p>
        </w:tc>
        <w:tc>
          <w:tcPr>
            <w:tcW w:w="486" w:type="pct"/>
            <w:tcBorders>
              <w:top w:val="single" w:sz="4" w:space="0" w:color="auto"/>
              <w:left w:val="single" w:sz="4" w:space="0" w:color="auto"/>
              <w:bottom w:val="single" w:sz="4" w:space="0" w:color="auto"/>
              <w:right w:val="single" w:sz="4" w:space="0" w:color="auto"/>
            </w:tcBorders>
          </w:tcPr>
          <w:p w14:paraId="2213B448"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62%</w:t>
            </w:r>
          </w:p>
        </w:tc>
        <w:tc>
          <w:tcPr>
            <w:tcW w:w="487" w:type="pct"/>
            <w:tcBorders>
              <w:top w:val="single" w:sz="4" w:space="0" w:color="auto"/>
              <w:left w:val="single" w:sz="4" w:space="0" w:color="auto"/>
              <w:bottom w:val="single" w:sz="4" w:space="0" w:color="auto"/>
              <w:right w:val="single" w:sz="4" w:space="0" w:color="auto"/>
            </w:tcBorders>
          </w:tcPr>
          <w:p w14:paraId="68F7F9FB"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63%</w:t>
            </w:r>
          </w:p>
        </w:tc>
        <w:tc>
          <w:tcPr>
            <w:tcW w:w="452" w:type="pct"/>
            <w:tcBorders>
              <w:top w:val="single" w:sz="4" w:space="0" w:color="auto"/>
              <w:left w:val="single" w:sz="4" w:space="0" w:color="auto"/>
              <w:bottom w:val="single" w:sz="4" w:space="0" w:color="auto"/>
              <w:right w:val="single" w:sz="4" w:space="0" w:color="auto"/>
            </w:tcBorders>
          </w:tcPr>
          <w:p w14:paraId="0C3E0B7F"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71%</w:t>
            </w:r>
          </w:p>
        </w:tc>
        <w:tc>
          <w:tcPr>
            <w:tcW w:w="521" w:type="pct"/>
            <w:tcBorders>
              <w:top w:val="single" w:sz="4" w:space="0" w:color="auto"/>
              <w:left w:val="single" w:sz="4" w:space="0" w:color="auto"/>
              <w:bottom w:val="single" w:sz="4" w:space="0" w:color="auto"/>
              <w:right w:val="single" w:sz="4" w:space="0" w:color="auto"/>
            </w:tcBorders>
          </w:tcPr>
          <w:p w14:paraId="434BBD89"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70%</w:t>
            </w:r>
          </w:p>
        </w:tc>
        <w:tc>
          <w:tcPr>
            <w:tcW w:w="488" w:type="pct"/>
            <w:tcBorders>
              <w:top w:val="single" w:sz="4" w:space="0" w:color="auto"/>
              <w:left w:val="single" w:sz="4" w:space="0" w:color="auto"/>
              <w:bottom w:val="single" w:sz="4" w:space="0" w:color="auto"/>
              <w:right w:val="single" w:sz="4" w:space="0" w:color="auto"/>
            </w:tcBorders>
          </w:tcPr>
          <w:p w14:paraId="4BB305AA"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8118F4">
              <w:rPr>
                <w:rFonts w:cs="Arial"/>
                <w:color w:val="000000"/>
                <w:szCs w:val="20"/>
              </w:rPr>
              <w:t>78%</w:t>
            </w:r>
          </w:p>
        </w:tc>
        <w:tc>
          <w:tcPr>
            <w:tcW w:w="555" w:type="pct"/>
            <w:tcBorders>
              <w:top w:val="single" w:sz="4" w:space="0" w:color="auto"/>
              <w:left w:val="single" w:sz="4" w:space="0" w:color="auto"/>
              <w:bottom w:val="single" w:sz="4" w:space="0" w:color="auto"/>
              <w:right w:val="single" w:sz="4" w:space="0" w:color="auto"/>
            </w:tcBorders>
          </w:tcPr>
          <w:p w14:paraId="2DED1CE1" w14:textId="77777777" w:rsidR="00746456" w:rsidRPr="008118F4"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8118F4">
              <w:rPr>
                <w:rFonts w:cs="Arial"/>
                <w:b/>
                <w:color w:val="000000"/>
                <w:szCs w:val="20"/>
              </w:rPr>
              <w:t>+8</w:t>
            </w:r>
          </w:p>
        </w:tc>
      </w:tr>
      <w:tr w:rsidR="00C803BD" w:rsidRPr="008118F4" w14:paraId="2D276908" w14:textId="77777777" w:rsidTr="00C803BD">
        <w:trPr>
          <w:jc w:val="center"/>
        </w:trPr>
        <w:tc>
          <w:tcPr>
            <w:cnfStyle w:val="001000000000" w:firstRow="0" w:lastRow="0" w:firstColumn="1" w:lastColumn="0" w:oddVBand="0" w:evenVBand="0" w:oddHBand="0" w:evenHBand="0" w:firstRowFirstColumn="0" w:firstRowLastColumn="0" w:lastRowFirstColumn="0" w:lastRowLastColumn="0"/>
            <w:tcW w:w="1524" w:type="pct"/>
            <w:tcBorders>
              <w:top w:val="single" w:sz="4" w:space="0" w:color="auto"/>
              <w:left w:val="single" w:sz="4" w:space="0" w:color="auto"/>
              <w:bottom w:val="single" w:sz="4" w:space="0" w:color="auto"/>
              <w:right w:val="single" w:sz="4" w:space="0" w:color="auto"/>
            </w:tcBorders>
          </w:tcPr>
          <w:p w14:paraId="65DDA343" w14:textId="77777777" w:rsidR="00746456" w:rsidRPr="008118F4" w:rsidRDefault="00746456" w:rsidP="00B83A60">
            <w:pPr>
              <w:pStyle w:val="BodyText"/>
              <w:spacing w:before="40" w:after="40" w:line="240" w:lineRule="auto"/>
              <w:ind w:left="0"/>
              <w:jc w:val="left"/>
              <w:rPr>
                <w:rFonts w:ascii="Arial" w:eastAsiaTheme="majorEastAsia" w:hAnsi="Arial" w:cs="Arial"/>
                <w:b w:val="0"/>
                <w:color w:val="0075A4"/>
                <w:szCs w:val="20"/>
              </w:rPr>
            </w:pPr>
            <w:r w:rsidRPr="008118F4">
              <w:rPr>
                <w:rFonts w:ascii="Arial" w:hAnsi="Arial" w:cs="Arial"/>
                <w:b w:val="0"/>
                <w:szCs w:val="20"/>
              </w:rPr>
              <w:t>The LGA demonstrates value for money</w:t>
            </w:r>
          </w:p>
        </w:tc>
        <w:tc>
          <w:tcPr>
            <w:tcW w:w="487" w:type="pct"/>
            <w:tcBorders>
              <w:top w:val="single" w:sz="4" w:space="0" w:color="auto"/>
              <w:left w:val="single" w:sz="4" w:space="0" w:color="auto"/>
              <w:bottom w:val="single" w:sz="4" w:space="0" w:color="auto"/>
              <w:right w:val="single" w:sz="4" w:space="0" w:color="auto"/>
            </w:tcBorders>
          </w:tcPr>
          <w:p w14:paraId="02CD35DB"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43%</w:t>
            </w:r>
          </w:p>
        </w:tc>
        <w:tc>
          <w:tcPr>
            <w:tcW w:w="486" w:type="pct"/>
            <w:tcBorders>
              <w:top w:val="single" w:sz="4" w:space="0" w:color="auto"/>
              <w:left w:val="single" w:sz="4" w:space="0" w:color="auto"/>
              <w:bottom w:val="single" w:sz="4" w:space="0" w:color="auto"/>
              <w:right w:val="single" w:sz="4" w:space="0" w:color="auto"/>
            </w:tcBorders>
          </w:tcPr>
          <w:p w14:paraId="1597D758"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53%</w:t>
            </w:r>
          </w:p>
        </w:tc>
        <w:tc>
          <w:tcPr>
            <w:tcW w:w="487" w:type="pct"/>
            <w:tcBorders>
              <w:top w:val="single" w:sz="4" w:space="0" w:color="auto"/>
              <w:left w:val="single" w:sz="4" w:space="0" w:color="auto"/>
              <w:bottom w:val="single" w:sz="4" w:space="0" w:color="auto"/>
              <w:right w:val="single" w:sz="4" w:space="0" w:color="auto"/>
            </w:tcBorders>
          </w:tcPr>
          <w:p w14:paraId="7D2D1B11"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53%</w:t>
            </w:r>
          </w:p>
        </w:tc>
        <w:tc>
          <w:tcPr>
            <w:tcW w:w="452" w:type="pct"/>
            <w:tcBorders>
              <w:top w:val="single" w:sz="4" w:space="0" w:color="auto"/>
              <w:left w:val="single" w:sz="4" w:space="0" w:color="auto"/>
              <w:bottom w:val="single" w:sz="4" w:space="0" w:color="auto"/>
              <w:right w:val="single" w:sz="4" w:space="0" w:color="auto"/>
            </w:tcBorders>
          </w:tcPr>
          <w:p w14:paraId="467452B0"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57%</w:t>
            </w:r>
          </w:p>
        </w:tc>
        <w:tc>
          <w:tcPr>
            <w:tcW w:w="521" w:type="pct"/>
            <w:tcBorders>
              <w:top w:val="single" w:sz="4" w:space="0" w:color="auto"/>
              <w:left w:val="single" w:sz="4" w:space="0" w:color="auto"/>
              <w:bottom w:val="single" w:sz="4" w:space="0" w:color="auto"/>
              <w:right w:val="single" w:sz="4" w:space="0" w:color="auto"/>
            </w:tcBorders>
          </w:tcPr>
          <w:p w14:paraId="7794F8FC"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N/A</w:t>
            </w:r>
          </w:p>
        </w:tc>
        <w:tc>
          <w:tcPr>
            <w:tcW w:w="488" w:type="pct"/>
            <w:tcBorders>
              <w:top w:val="single" w:sz="4" w:space="0" w:color="auto"/>
              <w:left w:val="single" w:sz="4" w:space="0" w:color="auto"/>
              <w:bottom w:val="single" w:sz="4" w:space="0" w:color="auto"/>
              <w:right w:val="single" w:sz="4" w:space="0" w:color="auto"/>
            </w:tcBorders>
          </w:tcPr>
          <w:p w14:paraId="2920CD97"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118F4">
              <w:rPr>
                <w:rFonts w:cs="Arial"/>
                <w:color w:val="000000"/>
                <w:szCs w:val="20"/>
              </w:rPr>
              <w:t>59%</w:t>
            </w:r>
          </w:p>
        </w:tc>
        <w:tc>
          <w:tcPr>
            <w:tcW w:w="555" w:type="pct"/>
            <w:tcBorders>
              <w:top w:val="single" w:sz="4" w:space="0" w:color="auto"/>
              <w:left w:val="single" w:sz="4" w:space="0" w:color="auto"/>
              <w:bottom w:val="single" w:sz="4" w:space="0" w:color="auto"/>
              <w:right w:val="single" w:sz="4" w:space="0" w:color="auto"/>
            </w:tcBorders>
          </w:tcPr>
          <w:p w14:paraId="6A7BDF03" w14:textId="77777777" w:rsidR="00746456" w:rsidRPr="008118F4"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8118F4">
              <w:rPr>
                <w:rFonts w:cs="Arial"/>
                <w:b/>
                <w:color w:val="000000"/>
                <w:szCs w:val="20"/>
              </w:rPr>
              <w:t>+2*</w:t>
            </w:r>
          </w:p>
        </w:tc>
      </w:tr>
    </w:tbl>
    <w:p w14:paraId="5BF523CF" w14:textId="77777777" w:rsidR="00746456" w:rsidRPr="008118F4" w:rsidRDefault="00746456" w:rsidP="00746456">
      <w:pPr>
        <w:pStyle w:val="BodyText"/>
        <w:spacing w:before="0"/>
        <w:ind w:left="0"/>
        <w:rPr>
          <w:rFonts w:ascii="Arial" w:hAnsi="Arial" w:cs="Arial"/>
          <w:sz w:val="20"/>
          <w:szCs w:val="20"/>
        </w:rPr>
      </w:pPr>
      <w:r w:rsidRPr="008118F4">
        <w:rPr>
          <w:rFonts w:ascii="Arial" w:hAnsi="Arial" w:cs="Arial"/>
          <w:sz w:val="20"/>
          <w:szCs w:val="20"/>
        </w:rPr>
        <w:t>*change from 2015</w:t>
      </w:r>
    </w:p>
    <w:p w14:paraId="3B011196" w14:textId="77777777" w:rsidR="008118F4" w:rsidRDefault="008118F4" w:rsidP="008118F4">
      <w:pPr>
        <w:spacing w:before="240" w:after="0" w:line="240" w:lineRule="auto"/>
        <w:rPr>
          <w:rFonts w:cs="Arial"/>
          <w:b/>
        </w:rPr>
      </w:pPr>
      <w:r w:rsidRPr="00322462">
        <w:rPr>
          <w:rStyle w:val="ReportTemplate"/>
          <w:b/>
        </w:rPr>
        <w:t xml:space="preserve">Figure 1: </w:t>
      </w:r>
      <w:r w:rsidRPr="00322462">
        <w:rPr>
          <w:rFonts w:cs="Arial"/>
          <w:b/>
        </w:rPr>
        <w:t>Summary of positive responses given for key measures</w:t>
      </w:r>
    </w:p>
    <w:p w14:paraId="6CB11458" w14:textId="77777777" w:rsidR="00C803BD" w:rsidRPr="00322462" w:rsidRDefault="00C803BD" w:rsidP="008118F4">
      <w:pPr>
        <w:spacing w:before="240" w:after="0" w:line="240" w:lineRule="auto"/>
        <w:rPr>
          <w:rStyle w:val="ReportTemplate"/>
          <w:b/>
        </w:rPr>
      </w:pPr>
    </w:p>
    <w:p w14:paraId="461607B0" w14:textId="01AFF50B" w:rsidR="00333FDD" w:rsidRPr="008118F4" w:rsidRDefault="008118F4" w:rsidP="008118F4">
      <w:pPr>
        <w:spacing w:after="0" w:line="240" w:lineRule="auto"/>
        <w:rPr>
          <w:rStyle w:val="ReportTemplate"/>
          <w:b/>
          <w:highlight w:val="yellow"/>
        </w:rPr>
      </w:pPr>
      <w:r>
        <w:rPr>
          <w:rStyle w:val="ReportTemplate"/>
          <w:b/>
          <w:noProof/>
          <w:highlight w:val="yellow"/>
          <w:lang w:eastAsia="en-GB"/>
        </w:rPr>
        <w:drawing>
          <wp:inline distT="0" distB="0" distL="0" distR="0" wp14:anchorId="0B2F8234" wp14:editId="5E2662FA">
            <wp:extent cx="6096635" cy="316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164205"/>
                    </a:xfrm>
                    <a:prstGeom prst="rect">
                      <a:avLst/>
                    </a:prstGeom>
                    <a:noFill/>
                  </pic:spPr>
                </pic:pic>
              </a:graphicData>
            </a:graphic>
          </wp:inline>
        </w:drawing>
      </w:r>
    </w:p>
    <w:p w14:paraId="39F3502D" w14:textId="77777777" w:rsidR="00C803BD" w:rsidRDefault="00C803BD" w:rsidP="00B129FA">
      <w:pPr>
        <w:spacing w:before="240" w:after="240"/>
        <w:rPr>
          <w:rStyle w:val="ReportTemplate"/>
          <w:u w:val="single"/>
        </w:rPr>
      </w:pPr>
    </w:p>
    <w:p w14:paraId="4657B2E7" w14:textId="77777777" w:rsidR="00C803BD" w:rsidRDefault="00C803BD" w:rsidP="00B129FA">
      <w:pPr>
        <w:spacing w:before="240" w:after="240"/>
        <w:rPr>
          <w:rStyle w:val="ReportTemplate"/>
          <w:u w:val="single"/>
        </w:rPr>
      </w:pPr>
    </w:p>
    <w:p w14:paraId="19DAAE1E" w14:textId="77777777" w:rsidR="006E4AD6" w:rsidRDefault="006E4AD6" w:rsidP="00B129FA">
      <w:pPr>
        <w:spacing w:before="240" w:after="240"/>
        <w:rPr>
          <w:rStyle w:val="ReportTemplate"/>
          <w:u w:val="single"/>
        </w:rPr>
      </w:pPr>
    </w:p>
    <w:p w14:paraId="204D9CF3" w14:textId="77777777" w:rsidR="002460F5" w:rsidRDefault="002460F5" w:rsidP="00B129FA">
      <w:pPr>
        <w:spacing w:before="240" w:after="240"/>
        <w:rPr>
          <w:rStyle w:val="ReportTemplate"/>
          <w:u w:val="single"/>
        </w:rPr>
      </w:pPr>
      <w:bookmarkStart w:id="1" w:name="_GoBack"/>
      <w:bookmarkEnd w:id="1"/>
    </w:p>
    <w:p w14:paraId="6831F5A1" w14:textId="77777777" w:rsidR="00B129FA" w:rsidRPr="0070304A" w:rsidRDefault="00B129FA" w:rsidP="00B129FA">
      <w:pPr>
        <w:spacing w:before="240" w:after="240"/>
        <w:rPr>
          <w:rStyle w:val="ReportTemplate"/>
          <w:u w:val="single"/>
        </w:rPr>
      </w:pPr>
      <w:r w:rsidRPr="0070304A">
        <w:rPr>
          <w:rStyle w:val="ReportTemplate"/>
          <w:u w:val="single"/>
        </w:rPr>
        <w:t>Sector-led improvement</w:t>
      </w:r>
    </w:p>
    <w:p w14:paraId="00D3A888" w14:textId="2C92FB50" w:rsidR="00700692" w:rsidRPr="0070304A" w:rsidRDefault="00700692" w:rsidP="00B129FA">
      <w:pPr>
        <w:pStyle w:val="ListParagraph"/>
        <w:rPr>
          <w:b/>
        </w:rPr>
      </w:pPr>
      <w:r w:rsidRPr="0070304A">
        <w:rPr>
          <w:b/>
        </w:rPr>
        <w:t>Respondents were asked to what extent they</w:t>
      </w:r>
      <w:r w:rsidR="00B129FA" w:rsidRPr="0070304A">
        <w:rPr>
          <w:b/>
        </w:rPr>
        <w:t xml:space="preserve"> agree or disagree that sector-led improvement is the right </w:t>
      </w:r>
      <w:r w:rsidRPr="0070304A">
        <w:rPr>
          <w:b/>
        </w:rPr>
        <w:t>approach in the current context.</w:t>
      </w:r>
    </w:p>
    <w:p w14:paraId="2C09CA18" w14:textId="77777777" w:rsidR="008265CC" w:rsidRPr="0070304A" w:rsidRDefault="008265CC" w:rsidP="008265CC">
      <w:pPr>
        <w:pStyle w:val="ListParagraph"/>
        <w:numPr>
          <w:ilvl w:val="0"/>
          <w:numId w:val="0"/>
        </w:numPr>
        <w:ind w:left="360"/>
        <w:rPr>
          <w:b/>
        </w:rPr>
      </w:pPr>
    </w:p>
    <w:p w14:paraId="1EAA0F90" w14:textId="77777777" w:rsidR="00700692" w:rsidRPr="0070304A" w:rsidRDefault="00B129FA" w:rsidP="00700692">
      <w:pPr>
        <w:pStyle w:val="ListParagraph"/>
        <w:numPr>
          <w:ilvl w:val="1"/>
          <w:numId w:val="1"/>
        </w:numPr>
      </w:pPr>
      <w:r w:rsidRPr="0070304A">
        <w:t>There was an eight percentage point increase since 2016, in the proportion who said that a sector-led improvement approach is right in the current context (</w:t>
      </w:r>
      <w:r w:rsidRPr="0070304A">
        <w:rPr>
          <w:b/>
        </w:rPr>
        <w:t>78 per cent</w:t>
      </w:r>
      <w:r w:rsidRPr="0070304A">
        <w:t>). Directors (</w:t>
      </w:r>
      <w:r w:rsidRPr="0070304A">
        <w:rPr>
          <w:b/>
        </w:rPr>
        <w:t>90 per cent</w:t>
      </w:r>
      <w:r w:rsidRPr="0070304A">
        <w:t>), chief executives (</w:t>
      </w:r>
      <w:r w:rsidRPr="0070304A">
        <w:rPr>
          <w:b/>
        </w:rPr>
        <w:t>88 per cent</w:t>
      </w:r>
      <w:r w:rsidRPr="0070304A">
        <w:t>) and leaders (</w:t>
      </w:r>
      <w:r w:rsidRPr="0070304A">
        <w:rPr>
          <w:b/>
        </w:rPr>
        <w:t>86 per cent</w:t>
      </w:r>
      <w:r w:rsidRPr="0070304A">
        <w:t xml:space="preserve">) are strong drivers of this. </w:t>
      </w:r>
    </w:p>
    <w:p w14:paraId="0E9AD217" w14:textId="77777777" w:rsidR="008265CC" w:rsidRPr="0070304A" w:rsidRDefault="008265CC" w:rsidP="008265CC">
      <w:pPr>
        <w:pStyle w:val="ListParagraph"/>
        <w:numPr>
          <w:ilvl w:val="0"/>
          <w:numId w:val="0"/>
        </w:numPr>
        <w:ind w:left="792"/>
      </w:pPr>
    </w:p>
    <w:p w14:paraId="5FA920CA" w14:textId="7D23D682" w:rsidR="00B129FA" w:rsidRPr="0070304A" w:rsidRDefault="00B129FA" w:rsidP="00700692">
      <w:pPr>
        <w:pStyle w:val="ListParagraph"/>
        <w:numPr>
          <w:ilvl w:val="1"/>
          <w:numId w:val="1"/>
        </w:numPr>
      </w:pPr>
      <w:r w:rsidRPr="0070304A">
        <w:t>Since 2012, there has been a 19 percentage point increase in the proportion saying that sector-led improvement is the right approach.</w:t>
      </w:r>
    </w:p>
    <w:p w14:paraId="4349E8DC" w14:textId="77777777" w:rsidR="00700692" w:rsidRPr="0070304A" w:rsidRDefault="00700692" w:rsidP="00B129FA">
      <w:pPr>
        <w:pStyle w:val="ListParagraph"/>
        <w:spacing w:before="240" w:after="240"/>
        <w:contextualSpacing w:val="0"/>
      </w:pPr>
      <w:r w:rsidRPr="0070304A">
        <w:rPr>
          <w:b/>
        </w:rPr>
        <w:t>Respondents were asked h</w:t>
      </w:r>
      <w:r w:rsidR="00B129FA" w:rsidRPr="0070304A">
        <w:rPr>
          <w:b/>
        </w:rPr>
        <w:t>ow useful</w:t>
      </w:r>
      <w:r w:rsidRPr="0070304A">
        <w:rPr>
          <w:b/>
        </w:rPr>
        <w:t xml:space="preserve"> </w:t>
      </w:r>
      <w:r w:rsidR="00B129FA" w:rsidRPr="0070304A">
        <w:rPr>
          <w:b/>
        </w:rPr>
        <w:t xml:space="preserve">elements of the LGAs improvement support offer </w:t>
      </w:r>
      <w:r w:rsidRPr="0070304A">
        <w:rPr>
          <w:b/>
        </w:rPr>
        <w:t xml:space="preserve">are </w:t>
      </w:r>
      <w:r w:rsidR="00B129FA" w:rsidRPr="0070304A">
        <w:rPr>
          <w:b/>
        </w:rPr>
        <w:t>for councils</w:t>
      </w:r>
      <w:r w:rsidRPr="0070304A">
        <w:rPr>
          <w:b/>
        </w:rPr>
        <w:t>.</w:t>
      </w:r>
      <w:r w:rsidRPr="0070304A">
        <w:t xml:space="preserve"> </w:t>
      </w:r>
    </w:p>
    <w:p w14:paraId="765BD686" w14:textId="05771857" w:rsidR="00B129FA" w:rsidRPr="0070304A" w:rsidRDefault="00B129FA" w:rsidP="00700692">
      <w:pPr>
        <w:pStyle w:val="ListParagraph"/>
        <w:numPr>
          <w:ilvl w:val="1"/>
          <w:numId w:val="1"/>
        </w:numPr>
        <w:spacing w:before="240" w:after="240"/>
        <w:contextualSpacing w:val="0"/>
        <w:rPr>
          <w:rStyle w:val="ReportTemplate"/>
        </w:rPr>
      </w:pPr>
      <w:r w:rsidRPr="0070304A">
        <w:rPr>
          <w:rStyle w:val="ReportTemplate"/>
        </w:rPr>
        <w:t>Access to good practice to help authorities learn from others was seen as the most useful aspect of the LGA’s improvement support offer for councils (</w:t>
      </w:r>
      <w:r w:rsidRPr="0070304A">
        <w:rPr>
          <w:rStyle w:val="ReportTemplate"/>
          <w:b/>
        </w:rPr>
        <w:t>87 per cent</w:t>
      </w:r>
      <w:r w:rsidRPr="0070304A">
        <w:rPr>
          <w:rStyle w:val="ReportTemplate"/>
        </w:rPr>
        <w:t>), followed by peer challenges to provide an external view on performance (</w:t>
      </w:r>
      <w:r w:rsidRPr="0070304A">
        <w:rPr>
          <w:rStyle w:val="ReportTemplate"/>
          <w:b/>
        </w:rPr>
        <w:t>83 per cent</w:t>
      </w:r>
      <w:r w:rsidRPr="0070304A">
        <w:rPr>
          <w:rStyle w:val="ReportTemplate"/>
        </w:rPr>
        <w:t>) and training for councillors (</w:t>
      </w:r>
      <w:r w:rsidRPr="0070304A">
        <w:rPr>
          <w:rStyle w:val="ReportTemplate"/>
          <w:b/>
        </w:rPr>
        <w:t>79 per cent</w:t>
      </w:r>
      <w:r w:rsidRPr="0070304A">
        <w:rPr>
          <w:rStyle w:val="ReportTemplate"/>
        </w:rPr>
        <w:t xml:space="preserve">). </w:t>
      </w:r>
    </w:p>
    <w:p w14:paraId="0DC3695D" w14:textId="77777777" w:rsidR="00700692" w:rsidRPr="0070304A" w:rsidRDefault="00700692" w:rsidP="00B129FA">
      <w:pPr>
        <w:pStyle w:val="ListParagraph"/>
        <w:spacing w:before="240" w:after="240"/>
        <w:contextualSpacing w:val="0"/>
        <w:rPr>
          <w:b/>
        </w:rPr>
      </w:pPr>
      <w:r w:rsidRPr="0070304A">
        <w:rPr>
          <w:b/>
        </w:rPr>
        <w:t xml:space="preserve">Respondents were asked, overall, thinking about the improvement support to what extent they thought that this has had a positive impact on their authority. </w:t>
      </w:r>
    </w:p>
    <w:p w14:paraId="1D04B02C" w14:textId="77777777" w:rsidR="00700692" w:rsidRPr="0070304A" w:rsidRDefault="00B129FA" w:rsidP="00180044">
      <w:pPr>
        <w:pStyle w:val="ListParagraph"/>
        <w:numPr>
          <w:ilvl w:val="1"/>
          <w:numId w:val="1"/>
        </w:numPr>
        <w:spacing w:before="240" w:after="240"/>
        <w:contextualSpacing w:val="0"/>
        <w:rPr>
          <w:rStyle w:val="ReportTemplate"/>
        </w:rPr>
      </w:pPr>
      <w:r w:rsidRPr="0070304A">
        <w:rPr>
          <w:rStyle w:val="ReportTemplate"/>
        </w:rPr>
        <w:t xml:space="preserve">Overall </w:t>
      </w:r>
      <w:r w:rsidRPr="0070304A">
        <w:rPr>
          <w:rStyle w:val="ReportTemplate"/>
          <w:b/>
        </w:rPr>
        <w:t>87 per cent</w:t>
      </w:r>
      <w:r w:rsidRPr="0070304A">
        <w:rPr>
          <w:rStyle w:val="ReportTemplate"/>
        </w:rPr>
        <w:t xml:space="preserve"> said that LGA improvement support has had a positive impact on their authority (an increase from </w:t>
      </w:r>
      <w:r w:rsidRPr="0070304A">
        <w:rPr>
          <w:rStyle w:val="ReportTemplate"/>
          <w:b/>
        </w:rPr>
        <w:t>83 per cent</w:t>
      </w:r>
      <w:r w:rsidRPr="0070304A">
        <w:rPr>
          <w:rStyle w:val="ReportTemplate"/>
        </w:rPr>
        <w:t xml:space="preserve"> in 2016). </w:t>
      </w:r>
    </w:p>
    <w:p w14:paraId="3C41B729" w14:textId="5F67B270" w:rsidR="00B129FA" w:rsidRPr="0070304A" w:rsidRDefault="00700692" w:rsidP="00700692">
      <w:pPr>
        <w:pStyle w:val="ListParagraph"/>
        <w:numPr>
          <w:ilvl w:val="1"/>
          <w:numId w:val="1"/>
        </w:numPr>
        <w:spacing w:before="240" w:after="240"/>
        <w:contextualSpacing w:val="0"/>
        <w:rPr>
          <w:rStyle w:val="ReportTemplate"/>
        </w:rPr>
      </w:pPr>
      <w:r w:rsidRPr="0070304A">
        <w:rPr>
          <w:rStyle w:val="ReportTemplate"/>
        </w:rPr>
        <w:t>T</w:t>
      </w:r>
      <w:r w:rsidR="00B129FA" w:rsidRPr="0070304A">
        <w:rPr>
          <w:rStyle w:val="ReportTemplate"/>
        </w:rPr>
        <w:t xml:space="preserve">his increases to </w:t>
      </w:r>
      <w:r w:rsidR="00B129FA" w:rsidRPr="0070304A">
        <w:rPr>
          <w:rStyle w:val="ReportTemplate"/>
          <w:b/>
        </w:rPr>
        <w:t>95 per cent</w:t>
      </w:r>
      <w:r w:rsidR="00B129FA" w:rsidRPr="0070304A">
        <w:rPr>
          <w:rStyle w:val="ReportTemplate"/>
        </w:rPr>
        <w:t xml:space="preserve"> among chief executives and </w:t>
      </w:r>
      <w:r w:rsidR="00B129FA" w:rsidRPr="0070304A">
        <w:rPr>
          <w:rStyle w:val="ReportTemplate"/>
          <w:b/>
        </w:rPr>
        <w:t>96 per cent</w:t>
      </w:r>
      <w:r w:rsidR="00B129FA" w:rsidRPr="0070304A">
        <w:rPr>
          <w:rStyle w:val="ReportTemplate"/>
        </w:rPr>
        <w:t xml:space="preserve"> among leaders.</w:t>
      </w:r>
    </w:p>
    <w:p w14:paraId="6762652E" w14:textId="77777777" w:rsidR="008265CC" w:rsidRDefault="00FD5DC2" w:rsidP="00180044">
      <w:pPr>
        <w:pStyle w:val="ListParagraph"/>
        <w:rPr>
          <w:rStyle w:val="ReportTemplate"/>
        </w:rPr>
      </w:pPr>
      <w:r w:rsidRPr="0070304A">
        <w:rPr>
          <w:rStyle w:val="ReportTemplate"/>
          <w:b/>
        </w:rPr>
        <w:t>Respondents were asked whether they thought the LGA should continue to provide support in a number of areas.</w:t>
      </w:r>
      <w:r w:rsidRPr="0070304A">
        <w:rPr>
          <w:rStyle w:val="ReportTemplate"/>
        </w:rPr>
        <w:t xml:space="preserve"> Ongoing support from the LGA is valued in all of the areas outlined in the survey:</w:t>
      </w:r>
    </w:p>
    <w:p w14:paraId="53334FAE" w14:textId="77777777" w:rsidR="00180044" w:rsidRPr="0070304A" w:rsidRDefault="00180044" w:rsidP="00180044">
      <w:pPr>
        <w:pStyle w:val="ListParagraph"/>
        <w:numPr>
          <w:ilvl w:val="0"/>
          <w:numId w:val="0"/>
        </w:numPr>
        <w:ind w:left="360"/>
        <w:rPr>
          <w:rStyle w:val="ReportTemplate"/>
        </w:rPr>
      </w:pPr>
    </w:p>
    <w:p w14:paraId="0BCE5B5E" w14:textId="4E511C94" w:rsidR="008265CC" w:rsidRDefault="00FD5DC2" w:rsidP="00180044">
      <w:pPr>
        <w:pStyle w:val="ListParagraph"/>
        <w:numPr>
          <w:ilvl w:val="1"/>
          <w:numId w:val="1"/>
        </w:numPr>
        <w:spacing w:before="240" w:after="240"/>
        <w:ind w:left="924" w:hanging="567"/>
        <w:rPr>
          <w:rStyle w:val="ReportTemplate"/>
        </w:rPr>
      </w:pPr>
      <w:r w:rsidRPr="00180044">
        <w:rPr>
          <w:rStyle w:val="ReportTemplate"/>
          <w:b/>
        </w:rPr>
        <w:t>93</w:t>
      </w:r>
      <w:r w:rsidR="005D2080" w:rsidRPr="00180044">
        <w:rPr>
          <w:rStyle w:val="ReportTemplate"/>
          <w:b/>
        </w:rPr>
        <w:t xml:space="preserve"> per cent</w:t>
      </w:r>
      <w:r w:rsidR="005D2080" w:rsidRPr="0070304A">
        <w:rPr>
          <w:rStyle w:val="ReportTemplate"/>
        </w:rPr>
        <w:t xml:space="preserve"> said the LGA should continue to provide practical support to help councils make efficiency savings, transform services and generate income</w:t>
      </w:r>
      <w:r w:rsidR="008265CC" w:rsidRPr="0070304A">
        <w:rPr>
          <w:rStyle w:val="ReportTemplate"/>
        </w:rPr>
        <w:t>.</w:t>
      </w:r>
    </w:p>
    <w:p w14:paraId="72849E19" w14:textId="77777777" w:rsidR="00180044" w:rsidRPr="0070304A" w:rsidRDefault="00180044" w:rsidP="00180044">
      <w:pPr>
        <w:pStyle w:val="ListParagraph"/>
        <w:numPr>
          <w:ilvl w:val="0"/>
          <w:numId w:val="0"/>
        </w:numPr>
        <w:spacing w:before="240" w:after="240"/>
        <w:ind w:left="924"/>
        <w:rPr>
          <w:rStyle w:val="ReportTemplate"/>
        </w:rPr>
      </w:pPr>
    </w:p>
    <w:p w14:paraId="3D55D738" w14:textId="77777777" w:rsidR="008265CC" w:rsidRPr="0070304A" w:rsidRDefault="005D2080" w:rsidP="00180044">
      <w:pPr>
        <w:pStyle w:val="ListParagraph"/>
        <w:numPr>
          <w:ilvl w:val="1"/>
          <w:numId w:val="1"/>
        </w:numPr>
        <w:spacing w:before="240" w:after="240"/>
        <w:ind w:left="924" w:hanging="567"/>
        <w:contextualSpacing w:val="0"/>
        <w:rPr>
          <w:rStyle w:val="ReportTemplate"/>
        </w:rPr>
      </w:pPr>
      <w:r w:rsidRPr="0070304A">
        <w:rPr>
          <w:rStyle w:val="ReportTemplate"/>
          <w:b/>
        </w:rPr>
        <w:t>93 per cent</w:t>
      </w:r>
      <w:r w:rsidRPr="0070304A">
        <w:rPr>
          <w:rStyle w:val="ReportTemplate"/>
        </w:rPr>
        <w:t xml:space="preserve"> said the LGA should continue to provide peer challenge and peer support (</w:t>
      </w:r>
      <w:r w:rsidR="002F1C94" w:rsidRPr="0070304A">
        <w:rPr>
          <w:rStyle w:val="ReportTemplate"/>
        </w:rPr>
        <w:t>up from</w:t>
      </w:r>
      <w:r w:rsidRPr="0070304A">
        <w:rPr>
          <w:rStyle w:val="ReportTemplate"/>
        </w:rPr>
        <w:t xml:space="preserve"> </w:t>
      </w:r>
      <w:r w:rsidRPr="0070304A">
        <w:rPr>
          <w:rStyle w:val="ReportTemplate"/>
          <w:b/>
        </w:rPr>
        <w:t>90 per cent</w:t>
      </w:r>
      <w:r w:rsidRPr="0070304A">
        <w:rPr>
          <w:rStyle w:val="ReportTemplate"/>
        </w:rPr>
        <w:t xml:space="preserve"> in 2016)</w:t>
      </w:r>
      <w:r w:rsidR="008265CC" w:rsidRPr="0070304A">
        <w:rPr>
          <w:rStyle w:val="ReportTemplate"/>
        </w:rPr>
        <w:t>.</w:t>
      </w:r>
    </w:p>
    <w:p w14:paraId="5E3423BB" w14:textId="77777777" w:rsidR="008265CC" w:rsidRPr="0070304A" w:rsidRDefault="005D2080" w:rsidP="00180044">
      <w:pPr>
        <w:pStyle w:val="ListParagraph"/>
        <w:numPr>
          <w:ilvl w:val="1"/>
          <w:numId w:val="1"/>
        </w:numPr>
        <w:spacing w:before="240" w:after="240"/>
        <w:ind w:left="924" w:hanging="567"/>
        <w:contextualSpacing w:val="0"/>
        <w:rPr>
          <w:rStyle w:val="ReportTemplate"/>
        </w:rPr>
      </w:pPr>
      <w:r w:rsidRPr="0070304A">
        <w:rPr>
          <w:rStyle w:val="ReportTemplate"/>
          <w:b/>
        </w:rPr>
        <w:t>91 per cent</w:t>
      </w:r>
      <w:r w:rsidRPr="0070304A">
        <w:rPr>
          <w:rStyle w:val="ReportTemplate"/>
        </w:rPr>
        <w:t xml:space="preserve"> said the LGA should continue to provide training for councillors</w:t>
      </w:r>
      <w:r w:rsidR="008265CC" w:rsidRPr="0070304A">
        <w:rPr>
          <w:rStyle w:val="ReportTemplate"/>
        </w:rPr>
        <w:t>.</w:t>
      </w:r>
    </w:p>
    <w:p w14:paraId="7DD65A0B" w14:textId="77777777" w:rsidR="008265CC" w:rsidRPr="0070304A" w:rsidRDefault="005D2080" w:rsidP="00180044">
      <w:pPr>
        <w:pStyle w:val="ListParagraph"/>
        <w:numPr>
          <w:ilvl w:val="1"/>
          <w:numId w:val="1"/>
        </w:numPr>
        <w:spacing w:before="240" w:after="240"/>
        <w:ind w:left="924" w:hanging="567"/>
        <w:contextualSpacing w:val="0"/>
        <w:rPr>
          <w:rStyle w:val="ReportTemplate"/>
        </w:rPr>
      </w:pPr>
      <w:r w:rsidRPr="0070304A">
        <w:rPr>
          <w:rStyle w:val="ReportTemplate"/>
          <w:b/>
        </w:rPr>
        <w:lastRenderedPageBreak/>
        <w:t>87 per cent</w:t>
      </w:r>
      <w:r w:rsidRPr="0070304A">
        <w:rPr>
          <w:rStyle w:val="ReportTemplate"/>
        </w:rPr>
        <w:t xml:space="preserve"> said the LGA should continue to provide support for developing a flexible and productive workforce, including training for officers</w:t>
      </w:r>
      <w:r w:rsidR="008265CC" w:rsidRPr="0070304A">
        <w:rPr>
          <w:rStyle w:val="ReportTemplate"/>
        </w:rPr>
        <w:t>.</w:t>
      </w:r>
    </w:p>
    <w:p w14:paraId="508699A9" w14:textId="6578849C" w:rsidR="008265CC" w:rsidRPr="0070304A" w:rsidRDefault="005D2080" w:rsidP="00180044">
      <w:pPr>
        <w:pStyle w:val="ListParagraph"/>
        <w:numPr>
          <w:ilvl w:val="1"/>
          <w:numId w:val="1"/>
        </w:numPr>
        <w:spacing w:before="240" w:after="240"/>
        <w:ind w:left="924" w:hanging="567"/>
        <w:contextualSpacing w:val="0"/>
        <w:rPr>
          <w:rStyle w:val="ReportTemplate"/>
        </w:rPr>
      </w:pPr>
      <w:r w:rsidRPr="0070304A">
        <w:rPr>
          <w:rStyle w:val="ReportTemplate"/>
          <w:b/>
        </w:rPr>
        <w:t>79 per cent</w:t>
      </w:r>
      <w:r w:rsidRPr="0070304A">
        <w:rPr>
          <w:rStyle w:val="ReportTemplate"/>
        </w:rPr>
        <w:t xml:space="preserve"> said the LGA should continue to provide support for economic growth and devolution</w:t>
      </w:r>
      <w:r w:rsidR="008265CC" w:rsidRPr="0070304A">
        <w:rPr>
          <w:rStyle w:val="ReportTemplate"/>
        </w:rPr>
        <w:t>.</w:t>
      </w:r>
    </w:p>
    <w:p w14:paraId="2AD8A092" w14:textId="56C1D796" w:rsidR="005D2080" w:rsidRDefault="005D2080" w:rsidP="00180044">
      <w:pPr>
        <w:pStyle w:val="ListParagraph"/>
        <w:numPr>
          <w:ilvl w:val="1"/>
          <w:numId w:val="1"/>
        </w:numPr>
        <w:spacing w:before="240" w:after="240"/>
        <w:ind w:left="924" w:hanging="567"/>
        <w:contextualSpacing w:val="0"/>
        <w:rPr>
          <w:rStyle w:val="ReportTemplate"/>
        </w:rPr>
      </w:pPr>
      <w:r w:rsidRPr="0070304A">
        <w:rPr>
          <w:rStyle w:val="ReportTemplate"/>
          <w:b/>
        </w:rPr>
        <w:t>75 per cent</w:t>
      </w:r>
      <w:r w:rsidRPr="0070304A">
        <w:rPr>
          <w:rStyle w:val="ReportTemplate"/>
        </w:rPr>
        <w:t xml:space="preserve"> said the LGA should continue to provide support for increasing housing supply.</w:t>
      </w:r>
    </w:p>
    <w:p w14:paraId="78038F01" w14:textId="77777777" w:rsidR="008265CC" w:rsidRPr="0070304A" w:rsidRDefault="00700692" w:rsidP="008265CC">
      <w:pPr>
        <w:pStyle w:val="ListParagraph"/>
        <w:spacing w:before="240" w:after="240"/>
        <w:ind w:left="357" w:hanging="357"/>
        <w:contextualSpacing w:val="0"/>
        <w:rPr>
          <w:rStyle w:val="ReportTemplate"/>
          <w:b/>
        </w:rPr>
      </w:pPr>
      <w:r w:rsidRPr="0070304A">
        <w:rPr>
          <w:rStyle w:val="ReportTemplate"/>
          <w:b/>
        </w:rPr>
        <w:t xml:space="preserve">Finally, respondents were </w:t>
      </w:r>
      <w:r w:rsidR="00E707A2" w:rsidRPr="0070304A">
        <w:rPr>
          <w:rStyle w:val="ReportTemplate"/>
          <w:b/>
        </w:rPr>
        <w:t>asked what new areas of support they would like to see provided by the LGA:</w:t>
      </w:r>
    </w:p>
    <w:p w14:paraId="77053383" w14:textId="5F048753" w:rsidR="008265CC" w:rsidRPr="00180044" w:rsidRDefault="00E707A2" w:rsidP="00180044">
      <w:pPr>
        <w:pStyle w:val="ListParagraph"/>
        <w:numPr>
          <w:ilvl w:val="1"/>
          <w:numId w:val="1"/>
        </w:numPr>
        <w:spacing w:before="240" w:after="240"/>
        <w:ind w:left="924" w:hanging="567"/>
        <w:rPr>
          <w:rStyle w:val="ReportTemplate"/>
          <w:b/>
        </w:rPr>
      </w:pPr>
      <w:r w:rsidRPr="00180044">
        <w:rPr>
          <w:rStyle w:val="ReportTemplate"/>
          <w:b/>
        </w:rPr>
        <w:t xml:space="preserve">70 per cent </w:t>
      </w:r>
      <w:r w:rsidRPr="0070304A">
        <w:rPr>
          <w:rStyle w:val="ReportTemplate"/>
        </w:rPr>
        <w:t>agreed that they would like to see support provided for emergency planning and resilience</w:t>
      </w:r>
      <w:r w:rsidR="008265CC" w:rsidRPr="0070304A">
        <w:rPr>
          <w:rStyle w:val="ReportTemplate"/>
        </w:rPr>
        <w:t>.</w:t>
      </w:r>
    </w:p>
    <w:p w14:paraId="20D38149" w14:textId="77777777" w:rsidR="00180044" w:rsidRPr="00180044" w:rsidRDefault="00180044" w:rsidP="00180044">
      <w:pPr>
        <w:pStyle w:val="ListParagraph"/>
        <w:numPr>
          <w:ilvl w:val="0"/>
          <w:numId w:val="0"/>
        </w:numPr>
        <w:spacing w:before="240" w:after="240"/>
        <w:ind w:left="924"/>
        <w:rPr>
          <w:rStyle w:val="ReportTemplate"/>
          <w:b/>
        </w:rPr>
      </w:pPr>
    </w:p>
    <w:p w14:paraId="105EA46E" w14:textId="051CF271" w:rsidR="00700692" w:rsidRPr="0070304A" w:rsidRDefault="00E707A2" w:rsidP="00180044">
      <w:pPr>
        <w:pStyle w:val="ListParagraph"/>
        <w:numPr>
          <w:ilvl w:val="1"/>
          <w:numId w:val="1"/>
        </w:numPr>
        <w:spacing w:before="240" w:after="240"/>
        <w:ind w:left="924" w:hanging="567"/>
        <w:contextualSpacing w:val="0"/>
        <w:rPr>
          <w:rStyle w:val="Style6"/>
        </w:rPr>
      </w:pPr>
      <w:r w:rsidRPr="0070304A">
        <w:rPr>
          <w:rStyle w:val="ReportTemplate"/>
          <w:b/>
        </w:rPr>
        <w:t xml:space="preserve">62 per cent </w:t>
      </w:r>
      <w:r w:rsidRPr="0070304A">
        <w:rPr>
          <w:rStyle w:val="ReportTemplate"/>
        </w:rPr>
        <w:t>agreed that they would like to see specific support for children’s improvement.</w:t>
      </w:r>
    </w:p>
    <w:p w14:paraId="69CE347E" w14:textId="77777777" w:rsidR="00581B59" w:rsidRPr="0070304A" w:rsidRDefault="006536E4" w:rsidP="006536E4">
      <w:pPr>
        <w:ind w:left="0" w:firstLine="0"/>
        <w:rPr>
          <w:rStyle w:val="Style6"/>
        </w:rPr>
      </w:pPr>
      <w:r w:rsidRPr="0070304A">
        <w:rPr>
          <w:rStyle w:val="Style6"/>
        </w:rPr>
        <w:t>Differences by role</w:t>
      </w:r>
      <w:r w:rsidR="0043075B" w:rsidRPr="0070304A">
        <w:rPr>
          <w:rStyle w:val="Style6"/>
        </w:rPr>
        <w:t xml:space="preserve">  </w:t>
      </w:r>
    </w:p>
    <w:p w14:paraId="26C0C3F4" w14:textId="7588353A" w:rsidR="006536E4" w:rsidRPr="0070304A" w:rsidRDefault="006536E4" w:rsidP="008265CC">
      <w:pPr>
        <w:pStyle w:val="ListParagraph"/>
        <w:rPr>
          <w:rStyle w:val="ReportTemplate"/>
        </w:rPr>
      </w:pPr>
      <w:r w:rsidRPr="0070304A">
        <w:rPr>
          <w:rStyle w:val="ReportTemplate"/>
        </w:rPr>
        <w:t xml:space="preserve">As with previous years there are some variations by role. On the whole, chief executives, directors and leaders have a greater knowledge of </w:t>
      </w:r>
      <w:r w:rsidR="009D0C1E" w:rsidRPr="0070304A">
        <w:rPr>
          <w:rStyle w:val="ReportTemplate"/>
        </w:rPr>
        <w:t>and satisfaction with</w:t>
      </w:r>
      <w:r w:rsidRPr="0070304A">
        <w:rPr>
          <w:rStyle w:val="ReportTemplate"/>
        </w:rPr>
        <w:t xml:space="preserve"> the LGA and </w:t>
      </w:r>
      <w:r w:rsidR="009D0C1E" w:rsidRPr="0070304A">
        <w:rPr>
          <w:rStyle w:val="ReportTemplate"/>
        </w:rPr>
        <w:t xml:space="preserve">more strongly positive views </w:t>
      </w:r>
      <w:r w:rsidRPr="0070304A">
        <w:rPr>
          <w:rStyle w:val="ReportTemplate"/>
        </w:rPr>
        <w:t xml:space="preserve">of </w:t>
      </w:r>
      <w:r w:rsidR="009D0C1E" w:rsidRPr="0070304A">
        <w:rPr>
          <w:rStyle w:val="ReportTemplate"/>
        </w:rPr>
        <w:t>s</w:t>
      </w:r>
      <w:r w:rsidRPr="0070304A">
        <w:rPr>
          <w:rStyle w:val="ReportTemplate"/>
        </w:rPr>
        <w:t>ector</w:t>
      </w:r>
      <w:r w:rsidR="009D0C1E" w:rsidRPr="0070304A">
        <w:rPr>
          <w:rStyle w:val="ReportTemplate"/>
        </w:rPr>
        <w:t>-l</w:t>
      </w:r>
      <w:r w:rsidR="00540547" w:rsidRPr="0070304A">
        <w:rPr>
          <w:rStyle w:val="ReportTemplate"/>
        </w:rPr>
        <w:t>ed i</w:t>
      </w:r>
      <w:r w:rsidRPr="0070304A">
        <w:rPr>
          <w:rStyle w:val="ReportTemplate"/>
        </w:rPr>
        <w:t>mprovement</w:t>
      </w:r>
      <w:r w:rsidR="009D0C1E" w:rsidRPr="0070304A">
        <w:rPr>
          <w:rStyle w:val="ReportTemplate"/>
        </w:rPr>
        <w:t xml:space="preserve"> compared to</w:t>
      </w:r>
      <w:r w:rsidRPr="0070304A">
        <w:rPr>
          <w:rStyle w:val="ReportTemplate"/>
        </w:rPr>
        <w:t xml:space="preserve"> </w:t>
      </w:r>
      <w:r w:rsidR="009D0C1E" w:rsidRPr="0070304A">
        <w:rPr>
          <w:rStyle w:val="ReportTemplate"/>
        </w:rPr>
        <w:t>f</w:t>
      </w:r>
      <w:r w:rsidRPr="0070304A">
        <w:rPr>
          <w:rStyle w:val="ReportTemplate"/>
        </w:rPr>
        <w:t>rontline</w:t>
      </w:r>
      <w:r w:rsidR="009D0C1E" w:rsidRPr="0070304A">
        <w:rPr>
          <w:rStyle w:val="ReportTemplate"/>
        </w:rPr>
        <w:t xml:space="preserve"> c</w:t>
      </w:r>
      <w:r w:rsidRPr="0070304A">
        <w:rPr>
          <w:rStyle w:val="ReportTemplate"/>
        </w:rPr>
        <w:t xml:space="preserve">ouncillors. </w:t>
      </w:r>
      <w:r w:rsidR="009D0C1E" w:rsidRPr="0070304A">
        <w:rPr>
          <w:rStyle w:val="ReportTemplate"/>
        </w:rPr>
        <w:t>The issue of engaging frontline councillors remains a challenge for us and continues to be addressed in our action plan for the year ahead.</w:t>
      </w:r>
    </w:p>
    <w:p w14:paraId="6EDADEE8" w14:textId="77777777" w:rsidR="00293EBC" w:rsidRPr="0070304A" w:rsidRDefault="002B48BC" w:rsidP="00CD1B5B">
      <w:pPr>
        <w:spacing w:before="240" w:after="240"/>
        <w:ind w:left="0" w:firstLine="0"/>
        <w:rPr>
          <w:rStyle w:val="ReportTemplate"/>
          <w:b/>
        </w:rPr>
      </w:pPr>
      <w:r w:rsidRPr="0070304A">
        <w:rPr>
          <w:rStyle w:val="ReportTemplate"/>
          <w:b/>
        </w:rPr>
        <w:t>Conclusions</w:t>
      </w:r>
    </w:p>
    <w:p w14:paraId="5DA66949" w14:textId="77777777" w:rsidR="007435ED" w:rsidRPr="0070304A" w:rsidRDefault="00AC6C0D" w:rsidP="00AC6C0D">
      <w:pPr>
        <w:pStyle w:val="ListParagraph"/>
        <w:spacing w:before="240" w:after="240"/>
        <w:contextualSpacing w:val="0"/>
        <w:rPr>
          <w:rStyle w:val="ReportTemplate"/>
        </w:rPr>
      </w:pPr>
      <w:r w:rsidRPr="0070304A">
        <w:t>Overall, this year’s results are positive, and broadly consistent with last year. Respondents have a high level of awareness of the LGA and the work we undertake on their behalf, and satisfaction with the work of the LGA remains high.</w:t>
      </w:r>
    </w:p>
    <w:p w14:paraId="5421EADD" w14:textId="3119302C" w:rsidR="007435ED" w:rsidRPr="0070304A" w:rsidRDefault="007435ED" w:rsidP="00AC6C0D">
      <w:pPr>
        <w:pStyle w:val="ListParagraph"/>
        <w:spacing w:before="240" w:after="240"/>
        <w:contextualSpacing w:val="0"/>
      </w:pPr>
      <w:r w:rsidRPr="0070304A">
        <w:t>The issue of engaging frontline councillors remains a challenge for us and is</w:t>
      </w:r>
      <w:r w:rsidR="00AC6C0D" w:rsidRPr="0070304A">
        <w:t xml:space="preserve"> addressed in</w:t>
      </w:r>
      <w:r w:rsidR="00773E0E" w:rsidRPr="0070304A">
        <w:t xml:space="preserve"> the</w:t>
      </w:r>
      <w:r w:rsidRPr="0070304A">
        <w:t xml:space="preserve"> action plan for the year ahead.</w:t>
      </w:r>
    </w:p>
    <w:p w14:paraId="343BF5DB" w14:textId="77777777" w:rsidR="007435ED" w:rsidRPr="0070304A" w:rsidRDefault="007435ED" w:rsidP="00AC6C0D">
      <w:pPr>
        <w:pStyle w:val="ListParagraph"/>
        <w:spacing w:before="240" w:after="240"/>
        <w:contextualSpacing w:val="0"/>
      </w:pPr>
      <w:r w:rsidRPr="0070304A">
        <w:t>Our sector-led improvement offer remains well regarded</w:t>
      </w:r>
      <w:r w:rsidR="00AC6C0D" w:rsidRPr="0070304A">
        <w:t>, with an increase in the proportion who think that a sector-led improvement approach is right in the c</w:t>
      </w:r>
      <w:r w:rsidR="00DF27AC" w:rsidRPr="0070304A">
        <w:t xml:space="preserve">urrent context, and </w:t>
      </w:r>
      <w:r w:rsidR="00AC6C0D" w:rsidRPr="0070304A">
        <w:t>in the proportion saying that LGA improvement support has had a positive impact on their authority.</w:t>
      </w:r>
    </w:p>
    <w:p w14:paraId="0E263561" w14:textId="6C6907A7" w:rsidR="00D85156" w:rsidRPr="008118F4" w:rsidRDefault="00D85156" w:rsidP="00D85156">
      <w:pPr>
        <w:spacing w:before="240" w:after="240"/>
        <w:ind w:left="0" w:firstLine="0"/>
        <w:rPr>
          <w:b/>
        </w:rPr>
      </w:pPr>
      <w:r w:rsidRPr="008118F4">
        <w:rPr>
          <w:b/>
        </w:rPr>
        <w:t>Implications for Wales</w:t>
      </w:r>
    </w:p>
    <w:p w14:paraId="42BC8CB0" w14:textId="7E15F205" w:rsidR="00D85156" w:rsidRPr="008118F4" w:rsidRDefault="00D85156" w:rsidP="00AC6C0D">
      <w:pPr>
        <w:pStyle w:val="ListParagraph"/>
        <w:spacing w:before="240" w:after="240"/>
        <w:contextualSpacing w:val="0"/>
      </w:pPr>
      <w:r w:rsidRPr="008118F4">
        <w:t>There are no implications for Wales.</w:t>
      </w:r>
    </w:p>
    <w:p w14:paraId="7B5396AA" w14:textId="77777777" w:rsidR="009B6F95" w:rsidRPr="008118F4" w:rsidRDefault="002460F5"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8118F4">
            <w:rPr>
              <w:rStyle w:val="Style6"/>
            </w:rPr>
            <w:t>Financial Implications</w:t>
          </w:r>
        </w:sdtContent>
      </w:sdt>
    </w:p>
    <w:p w14:paraId="50C7FC3B" w14:textId="6F597288" w:rsidR="009B6F95" w:rsidRPr="00CE5848" w:rsidRDefault="009707C4" w:rsidP="00BF0D30">
      <w:pPr>
        <w:pStyle w:val="ListParagraph"/>
        <w:rPr>
          <w:rStyle w:val="Title2"/>
          <w:sz w:val="22"/>
        </w:rPr>
      </w:pPr>
      <w:r w:rsidRPr="008118F4">
        <w:rPr>
          <w:rStyle w:val="Title2"/>
          <w:b w:val="0"/>
          <w:sz w:val="22"/>
        </w:rPr>
        <w:t xml:space="preserve">There are no additional financial implications arising from this report. </w:t>
      </w:r>
    </w:p>
    <w:p w14:paraId="298A57D3" w14:textId="27C7FAB4" w:rsidR="00CE5848" w:rsidRPr="00974DD4" w:rsidRDefault="00CE5848" w:rsidP="00CE5848">
      <w:pPr>
        <w:ind w:left="0" w:firstLine="0"/>
        <w:rPr>
          <w:rStyle w:val="Title2"/>
          <w:sz w:val="22"/>
        </w:rPr>
      </w:pPr>
      <w:r>
        <w:rPr>
          <w:rStyle w:val="Title2"/>
          <w:sz w:val="22"/>
        </w:rPr>
        <w:lastRenderedPageBreak/>
        <w:t>Appendices</w:t>
      </w:r>
    </w:p>
    <w:p w14:paraId="0BED4049" w14:textId="64BFB90C" w:rsidR="00CE5848" w:rsidRPr="00974DD4" w:rsidRDefault="00CE5848" w:rsidP="00CE5848">
      <w:pPr>
        <w:pStyle w:val="ListParagraph"/>
        <w:rPr>
          <w:rStyle w:val="Title2"/>
          <w:sz w:val="22"/>
        </w:rPr>
      </w:pPr>
      <w:r w:rsidRPr="00C803BD">
        <w:rPr>
          <w:rStyle w:val="Title2"/>
          <w:sz w:val="22"/>
          <w:u w:val="single"/>
        </w:rPr>
        <w:t>Appendix A</w:t>
      </w:r>
      <w:r w:rsidRPr="00974DD4">
        <w:rPr>
          <w:rStyle w:val="Title2"/>
          <w:b w:val="0"/>
          <w:sz w:val="22"/>
        </w:rPr>
        <w:t xml:space="preserve"> -</w:t>
      </w:r>
      <w:r w:rsidRPr="00974DD4">
        <w:rPr>
          <w:rStyle w:val="Title2"/>
          <w:sz w:val="22"/>
        </w:rPr>
        <w:t xml:space="preserve"> </w:t>
      </w:r>
      <w:r w:rsidR="00974DD4" w:rsidRPr="00974DD4">
        <w:t>Perceptions survey 2016/17 - Action plan</w:t>
      </w:r>
    </w:p>
    <w:p w14:paraId="232442AB" w14:textId="77777777" w:rsidR="009B6F95" w:rsidRPr="008118F4" w:rsidRDefault="002460F5"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8118F4">
            <w:rPr>
              <w:rStyle w:val="Style6"/>
            </w:rPr>
            <w:t>Next steps</w:t>
          </w:r>
        </w:sdtContent>
      </w:sdt>
    </w:p>
    <w:p w14:paraId="478D1EF6" w14:textId="6C323882" w:rsidR="009B6F95" w:rsidRDefault="00D85156" w:rsidP="00C803BD">
      <w:pPr>
        <w:pStyle w:val="ListParagraph"/>
        <w:rPr>
          <w:rStyle w:val="ReportTemplate"/>
        </w:rPr>
      </w:pPr>
      <w:r w:rsidRPr="008118F4">
        <w:rPr>
          <w:rStyle w:val="ReportTemplate"/>
        </w:rPr>
        <w:t>The LGA Leadership Board is overseeing next steps.</w:t>
      </w:r>
    </w:p>
    <w:sectPr w:rsidR="009B6F9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45AD6" w14:textId="77777777" w:rsidR="00736570" w:rsidRPr="00C803F3" w:rsidRDefault="00736570" w:rsidP="00C803F3">
      <w:r>
        <w:separator/>
      </w:r>
    </w:p>
  </w:endnote>
  <w:endnote w:type="continuationSeparator" w:id="0">
    <w:p w14:paraId="025F923D" w14:textId="77777777" w:rsidR="00736570" w:rsidRPr="00C803F3" w:rsidRDefault="0073657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5216" w14:textId="77777777" w:rsidR="00736570" w:rsidRPr="00C803F3" w:rsidRDefault="00736570" w:rsidP="00C803F3">
      <w:r>
        <w:separator/>
      </w:r>
    </w:p>
  </w:footnote>
  <w:footnote w:type="continuationSeparator" w:id="0">
    <w:p w14:paraId="1D6C5F50" w14:textId="77777777" w:rsidR="00736570" w:rsidRPr="00C803F3" w:rsidRDefault="00736570" w:rsidP="00C803F3">
      <w:r>
        <w:continuationSeparator/>
      </w:r>
    </w:p>
  </w:footnote>
  <w:footnote w:id="1">
    <w:p w14:paraId="13401F92" w14:textId="77777777" w:rsidR="00736570" w:rsidRPr="008265CC" w:rsidRDefault="00736570">
      <w:pPr>
        <w:pStyle w:val="FootnoteText"/>
        <w:rPr>
          <w:rFonts w:ascii="Arial" w:hAnsi="Arial" w:cs="Arial"/>
        </w:rPr>
      </w:pPr>
      <w:r w:rsidRPr="008265CC">
        <w:rPr>
          <w:rStyle w:val="FootnoteReference"/>
          <w:rFonts w:ascii="Arial" w:hAnsi="Arial" w:cs="Arial"/>
        </w:rPr>
        <w:footnoteRef/>
      </w:r>
      <w:r w:rsidRPr="008265CC">
        <w:rPr>
          <w:rFonts w:ascii="Arial" w:hAnsi="Arial" w:cs="Arial"/>
        </w:rPr>
        <w:t xml:space="preserve"> Changes from previous years are only mentioned in the text if they are statistically significant.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36570" w:rsidRPr="00C25CA7" w14:paraId="08A4CDEA" w14:textId="77777777" w:rsidTr="000F69FB">
      <w:trPr>
        <w:trHeight w:val="416"/>
      </w:trPr>
      <w:tc>
        <w:tcPr>
          <w:tcW w:w="5812" w:type="dxa"/>
          <w:vMerge w:val="restart"/>
        </w:tcPr>
        <w:p w14:paraId="63227C3D" w14:textId="77777777" w:rsidR="00736570" w:rsidRPr="00C803F3" w:rsidRDefault="00736570" w:rsidP="00C803F3">
          <w:r w:rsidRPr="00C803F3">
            <w:rPr>
              <w:noProof/>
              <w:lang w:eastAsia="en-GB"/>
            </w:rPr>
            <w:drawing>
              <wp:inline distT="0" distB="0" distL="0" distR="0" wp14:anchorId="25F048AB" wp14:editId="0E2096A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EFCDF5F" w14:textId="6E323659" w:rsidR="00736570" w:rsidRPr="008265CC" w:rsidRDefault="00736570" w:rsidP="00CD7F07">
              <w:pPr>
                <w:ind w:left="0" w:firstLine="0"/>
                <w:rPr>
                  <w:b/>
                </w:rPr>
              </w:pPr>
              <w:r w:rsidRPr="008265CC">
                <w:rPr>
                  <w:b/>
                </w:rPr>
                <w:t xml:space="preserve">Improvement and Innovation Board </w:t>
              </w:r>
            </w:p>
            <w:p w14:paraId="3D051FE1" w14:textId="061222F2" w:rsidR="00736570" w:rsidRPr="00C803F3" w:rsidRDefault="00736570" w:rsidP="00CD7F07">
              <w:pPr>
                <w:ind w:left="0" w:firstLine="0"/>
              </w:pPr>
            </w:p>
          </w:tc>
        </w:sdtContent>
      </w:sdt>
    </w:tr>
    <w:tr w:rsidR="00736570" w14:paraId="47ED2072" w14:textId="77777777" w:rsidTr="000F69FB">
      <w:trPr>
        <w:trHeight w:val="406"/>
      </w:trPr>
      <w:tc>
        <w:tcPr>
          <w:tcW w:w="5812" w:type="dxa"/>
          <w:vMerge/>
        </w:tcPr>
        <w:p w14:paraId="357C2EF3" w14:textId="77777777" w:rsidR="00736570" w:rsidRPr="00A627DD" w:rsidRDefault="00736570" w:rsidP="00C803F3"/>
      </w:tc>
      <w:tc>
        <w:tcPr>
          <w:tcW w:w="4106" w:type="dxa"/>
        </w:tcPr>
        <w:sdt>
          <w:sdtPr>
            <w:alias w:val="Date"/>
            <w:tag w:val="Date"/>
            <w:id w:val="-488943452"/>
            <w:placeholder>
              <w:docPart w:val="DC36D9B85A214F14AB68618A90760C36"/>
            </w:placeholder>
            <w:date w:fullDate="2018-05-24T00:00:00Z">
              <w:dateFormat w:val="dd MMMM yyyy"/>
              <w:lid w:val="en-GB"/>
              <w:storeMappedDataAs w:val="dateTime"/>
              <w:calendar w:val="gregorian"/>
            </w:date>
          </w:sdtPr>
          <w:sdtEndPr/>
          <w:sdtContent>
            <w:p w14:paraId="7821E8CE" w14:textId="7D6FDBD5" w:rsidR="00736570" w:rsidRPr="00C803F3" w:rsidRDefault="00736570" w:rsidP="00CD7F07">
              <w:r>
                <w:t>24 May 2018</w:t>
              </w:r>
            </w:p>
          </w:sdtContent>
        </w:sdt>
      </w:tc>
    </w:tr>
    <w:tr w:rsidR="00736570" w:rsidRPr="00C25CA7" w14:paraId="7597A6FD" w14:textId="77777777" w:rsidTr="000F69FB">
      <w:trPr>
        <w:trHeight w:val="89"/>
      </w:trPr>
      <w:tc>
        <w:tcPr>
          <w:tcW w:w="5812" w:type="dxa"/>
          <w:vMerge/>
        </w:tcPr>
        <w:p w14:paraId="6F0287C2" w14:textId="77777777" w:rsidR="00736570" w:rsidRPr="00A627DD" w:rsidRDefault="00736570" w:rsidP="00C803F3"/>
      </w:tc>
      <w:tc>
        <w:tcPr>
          <w:tcW w:w="4106" w:type="dxa"/>
        </w:tcPr>
        <w:p w14:paraId="4F1F0F38" w14:textId="1E507547" w:rsidR="00736570" w:rsidRPr="00C803F3" w:rsidRDefault="00736570" w:rsidP="008265CC">
          <w:pPr>
            <w:ind w:left="0" w:firstLine="0"/>
          </w:pPr>
        </w:p>
      </w:tc>
    </w:tr>
  </w:tbl>
  <w:p w14:paraId="55EE3B55" w14:textId="77777777" w:rsidR="00736570" w:rsidRDefault="00736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BD8"/>
    <w:multiLevelType w:val="hybridMultilevel"/>
    <w:tmpl w:val="B48E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87E19"/>
    <w:multiLevelType w:val="multilevel"/>
    <w:tmpl w:val="B706F63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DA24492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816F61"/>
    <w:multiLevelType w:val="multilevel"/>
    <w:tmpl w:val="04C43B46"/>
    <w:lvl w:ilvl="0">
      <w:start w:val="10"/>
      <w:numFmt w:val="decimal"/>
      <w:lvlText w:val="%1"/>
      <w:lvlJc w:val="left"/>
      <w:pPr>
        <w:ind w:left="420" w:hanging="420"/>
      </w:pPr>
      <w:rPr>
        <w:rFonts w:hint="default"/>
      </w:rPr>
    </w:lvl>
    <w:lvl w:ilvl="1">
      <w:start w:val="1"/>
      <w:numFmt w:val="decimal"/>
      <w:lvlText w:val="%1.%2"/>
      <w:lvlJc w:val="center"/>
      <w:pPr>
        <w:ind w:left="777" w:hanging="42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C933A94"/>
    <w:multiLevelType w:val="hybridMultilevel"/>
    <w:tmpl w:val="212E6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D5A142F"/>
    <w:multiLevelType w:val="hybridMultilevel"/>
    <w:tmpl w:val="28C8DB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71F6F89"/>
    <w:multiLevelType w:val="hybridMultilevel"/>
    <w:tmpl w:val="7702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EE509CF"/>
    <w:multiLevelType w:val="multilevel"/>
    <w:tmpl w:val="D486AB6A"/>
    <w:lvl w:ilvl="0">
      <w:start w:val="9"/>
      <w:numFmt w:val="decimal"/>
      <w:lvlText w:val="%1"/>
      <w:lvlJc w:val="left"/>
      <w:pPr>
        <w:ind w:left="360" w:hanging="360"/>
      </w:pPr>
      <w:rPr>
        <w:rFonts w:hint="default"/>
        <w:b/>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9" w15:restartNumberingAfterBreak="0">
    <w:nsid w:val="48B20928"/>
    <w:multiLevelType w:val="hybridMultilevel"/>
    <w:tmpl w:val="D08636B4"/>
    <w:lvl w:ilvl="0" w:tplc="DD269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C501D"/>
    <w:multiLevelType w:val="multilevel"/>
    <w:tmpl w:val="DA2C52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9"/>
  </w:num>
  <w:num w:numId="4">
    <w:abstractNumId w:val="3"/>
  </w:num>
  <w:num w:numId="5">
    <w:abstractNumId w:val="3"/>
  </w:num>
  <w:num w:numId="6">
    <w:abstractNumId w:val="3"/>
  </w:num>
  <w:num w:numId="7">
    <w:abstractNumId w:val="3"/>
  </w:num>
  <w:num w:numId="8">
    <w:abstractNumId w:val="3"/>
  </w:num>
  <w:num w:numId="9">
    <w:abstractNumId w:val="6"/>
  </w:num>
  <w:num w:numId="10">
    <w:abstractNumId w:val="3"/>
  </w:num>
  <w:num w:numId="11">
    <w:abstractNumId w:val="3"/>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0"/>
  </w:num>
  <w:num w:numId="23">
    <w:abstractNumId w:val="7"/>
  </w:num>
  <w:num w:numId="24">
    <w:abstractNumId w:val="5"/>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1"/>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96C"/>
    <w:rsid w:val="00000F9D"/>
    <w:rsid w:val="00002414"/>
    <w:rsid w:val="00010B99"/>
    <w:rsid w:val="00016097"/>
    <w:rsid w:val="00021924"/>
    <w:rsid w:val="00056D53"/>
    <w:rsid w:val="00072783"/>
    <w:rsid w:val="000758F2"/>
    <w:rsid w:val="000C512F"/>
    <w:rsid w:val="000D38CC"/>
    <w:rsid w:val="000E7BDA"/>
    <w:rsid w:val="000F69FB"/>
    <w:rsid w:val="00105DA9"/>
    <w:rsid w:val="00131BB1"/>
    <w:rsid w:val="00135F7A"/>
    <w:rsid w:val="00155243"/>
    <w:rsid w:val="001564C2"/>
    <w:rsid w:val="00180044"/>
    <w:rsid w:val="001A4ECF"/>
    <w:rsid w:val="001A5590"/>
    <w:rsid w:val="001B36CE"/>
    <w:rsid w:val="001E7BB6"/>
    <w:rsid w:val="00202CEC"/>
    <w:rsid w:val="002130ED"/>
    <w:rsid w:val="00226A91"/>
    <w:rsid w:val="0023064C"/>
    <w:rsid w:val="00241225"/>
    <w:rsid w:val="002460F5"/>
    <w:rsid w:val="002539E9"/>
    <w:rsid w:val="002767F0"/>
    <w:rsid w:val="00293EBC"/>
    <w:rsid w:val="002A63D1"/>
    <w:rsid w:val="002B48BC"/>
    <w:rsid w:val="002D23EF"/>
    <w:rsid w:val="002F1C94"/>
    <w:rsid w:val="00301A51"/>
    <w:rsid w:val="00322462"/>
    <w:rsid w:val="00333FDD"/>
    <w:rsid w:val="003556E9"/>
    <w:rsid w:val="00385429"/>
    <w:rsid w:val="003B66C8"/>
    <w:rsid w:val="003B7086"/>
    <w:rsid w:val="003D6ABD"/>
    <w:rsid w:val="0043075B"/>
    <w:rsid w:val="004330A2"/>
    <w:rsid w:val="004428A4"/>
    <w:rsid w:val="00457D23"/>
    <w:rsid w:val="004C519C"/>
    <w:rsid w:val="0051129E"/>
    <w:rsid w:val="00540547"/>
    <w:rsid w:val="00581B59"/>
    <w:rsid w:val="005A3AD6"/>
    <w:rsid w:val="005A73AB"/>
    <w:rsid w:val="005B4161"/>
    <w:rsid w:val="005D2080"/>
    <w:rsid w:val="005F46F3"/>
    <w:rsid w:val="0060774A"/>
    <w:rsid w:val="0063416A"/>
    <w:rsid w:val="006536E4"/>
    <w:rsid w:val="00654BBE"/>
    <w:rsid w:val="0066394E"/>
    <w:rsid w:val="006805CF"/>
    <w:rsid w:val="006B1366"/>
    <w:rsid w:val="006C7C4A"/>
    <w:rsid w:val="006E4AD6"/>
    <w:rsid w:val="006F642E"/>
    <w:rsid w:val="00700692"/>
    <w:rsid w:val="0070304A"/>
    <w:rsid w:val="007100A0"/>
    <w:rsid w:val="00712C86"/>
    <w:rsid w:val="00736570"/>
    <w:rsid w:val="007435ED"/>
    <w:rsid w:val="00746456"/>
    <w:rsid w:val="0075243F"/>
    <w:rsid w:val="007622BA"/>
    <w:rsid w:val="00762557"/>
    <w:rsid w:val="00773E0E"/>
    <w:rsid w:val="00795C95"/>
    <w:rsid w:val="007C5F51"/>
    <w:rsid w:val="007D269F"/>
    <w:rsid w:val="007D64C7"/>
    <w:rsid w:val="008012A5"/>
    <w:rsid w:val="0080661C"/>
    <w:rsid w:val="008118F4"/>
    <w:rsid w:val="00822976"/>
    <w:rsid w:val="008265CC"/>
    <w:rsid w:val="00830950"/>
    <w:rsid w:val="00844800"/>
    <w:rsid w:val="00891AE9"/>
    <w:rsid w:val="008C31B1"/>
    <w:rsid w:val="00915C21"/>
    <w:rsid w:val="009435F7"/>
    <w:rsid w:val="00957F26"/>
    <w:rsid w:val="00964B23"/>
    <w:rsid w:val="009707C4"/>
    <w:rsid w:val="00974DD4"/>
    <w:rsid w:val="009A134A"/>
    <w:rsid w:val="009B1AA8"/>
    <w:rsid w:val="009B6F95"/>
    <w:rsid w:val="009D0C1E"/>
    <w:rsid w:val="00A213E7"/>
    <w:rsid w:val="00A26178"/>
    <w:rsid w:val="00A53CD6"/>
    <w:rsid w:val="00A541EC"/>
    <w:rsid w:val="00AA5618"/>
    <w:rsid w:val="00AC14A6"/>
    <w:rsid w:val="00AC6C0D"/>
    <w:rsid w:val="00AE3DF6"/>
    <w:rsid w:val="00AE6070"/>
    <w:rsid w:val="00B10A01"/>
    <w:rsid w:val="00B129FA"/>
    <w:rsid w:val="00B270E5"/>
    <w:rsid w:val="00B83A60"/>
    <w:rsid w:val="00B84844"/>
    <w:rsid w:val="00B84F31"/>
    <w:rsid w:val="00BC6037"/>
    <w:rsid w:val="00BD4387"/>
    <w:rsid w:val="00BE1FA3"/>
    <w:rsid w:val="00BE43DC"/>
    <w:rsid w:val="00BF0D30"/>
    <w:rsid w:val="00BF4EA4"/>
    <w:rsid w:val="00C22C2B"/>
    <w:rsid w:val="00C260E8"/>
    <w:rsid w:val="00C803BD"/>
    <w:rsid w:val="00C803F3"/>
    <w:rsid w:val="00C84142"/>
    <w:rsid w:val="00CD1B5B"/>
    <w:rsid w:val="00CD50CD"/>
    <w:rsid w:val="00CD7F07"/>
    <w:rsid w:val="00CE5848"/>
    <w:rsid w:val="00CF0B1D"/>
    <w:rsid w:val="00D221A3"/>
    <w:rsid w:val="00D45B4D"/>
    <w:rsid w:val="00D63179"/>
    <w:rsid w:val="00D73063"/>
    <w:rsid w:val="00D8233F"/>
    <w:rsid w:val="00D85156"/>
    <w:rsid w:val="00DA7394"/>
    <w:rsid w:val="00DD1EC2"/>
    <w:rsid w:val="00DE2037"/>
    <w:rsid w:val="00DF27AC"/>
    <w:rsid w:val="00E36D87"/>
    <w:rsid w:val="00E56A90"/>
    <w:rsid w:val="00E707A2"/>
    <w:rsid w:val="00EA2304"/>
    <w:rsid w:val="00F14A28"/>
    <w:rsid w:val="00F20D43"/>
    <w:rsid w:val="00F333CE"/>
    <w:rsid w:val="00F82146"/>
    <w:rsid w:val="00FB455E"/>
    <w:rsid w:val="00FC57FE"/>
    <w:rsid w:val="00FD5DC2"/>
    <w:rsid w:val="00FD62F9"/>
    <w:rsid w:val="00FE0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2DC8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aliases w:val="F8 Main Heading"/>
    <w:basedOn w:val="Normal"/>
    <w:next w:val="BodyText"/>
    <w:link w:val="Heading1Char"/>
    <w:qFormat/>
    <w:rsid w:val="00C22C2B"/>
    <w:pPr>
      <w:keepNext/>
      <w:keepLines/>
      <w:pageBreakBefore/>
      <w:numPr>
        <w:numId w:val="22"/>
      </w:numPr>
      <w:pBdr>
        <w:top w:val="single" w:sz="36" w:space="4" w:color="0075A4"/>
        <w:left w:val="single" w:sz="36" w:space="4" w:color="0075A4"/>
        <w:bottom w:val="single" w:sz="36" w:space="4" w:color="0075A4"/>
        <w:right w:val="single" w:sz="36" w:space="4" w:color="0075A4"/>
      </w:pBdr>
      <w:shd w:val="clear" w:color="auto" w:fill="0075A4"/>
      <w:spacing w:before="120" w:after="360"/>
      <w:outlineLvl w:val="0"/>
    </w:pPr>
    <w:rPr>
      <w:rFonts w:asciiTheme="majorHAnsi" w:eastAsiaTheme="majorEastAsia" w:hAnsiTheme="majorHAnsi" w:cstheme="majorBidi"/>
      <w:b/>
      <w:bCs/>
      <w:color w:val="FFFFFF" w:themeColor="background1"/>
      <w:sz w:val="28"/>
      <w:szCs w:val="28"/>
    </w:rPr>
  </w:style>
  <w:style w:type="paragraph" w:styleId="Heading2">
    <w:name w:val="heading 2"/>
    <w:aliases w:val="F7 Sub Heading"/>
    <w:basedOn w:val="Normal"/>
    <w:next w:val="BodyText"/>
    <w:link w:val="Heading2Char"/>
    <w:uiPriority w:val="1"/>
    <w:unhideWhenUsed/>
    <w:qFormat/>
    <w:rsid w:val="00C22C2B"/>
    <w:pPr>
      <w:keepNext/>
      <w:keepLines/>
      <w:numPr>
        <w:ilvl w:val="1"/>
        <w:numId w:val="22"/>
      </w:numPr>
      <w:spacing w:before="200" w:after="120"/>
      <w:outlineLvl w:val="1"/>
    </w:pPr>
    <w:rPr>
      <w:rFonts w:asciiTheme="majorHAnsi" w:eastAsiaTheme="majorEastAsia" w:hAnsiTheme="majorHAnsi" w:cstheme="majorBidi"/>
      <w:b/>
      <w:bCs/>
      <w:color w:val="0075A4"/>
      <w:sz w:val="26"/>
      <w:szCs w:val="26"/>
    </w:rPr>
  </w:style>
  <w:style w:type="paragraph" w:styleId="Heading3">
    <w:name w:val="heading 3"/>
    <w:aliases w:val="F6 Sub sub Heading"/>
    <w:basedOn w:val="Normal"/>
    <w:next w:val="BodyText"/>
    <w:link w:val="Heading3Char"/>
    <w:uiPriority w:val="2"/>
    <w:unhideWhenUsed/>
    <w:qFormat/>
    <w:rsid w:val="00C22C2B"/>
    <w:pPr>
      <w:keepNext/>
      <w:keepLines/>
      <w:numPr>
        <w:ilvl w:val="2"/>
        <w:numId w:val="22"/>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qFormat/>
    <w:rsid w:val="00C22C2B"/>
    <w:pPr>
      <w:keepNext/>
      <w:keepLines/>
      <w:numPr>
        <w:ilvl w:val="3"/>
        <w:numId w:val="2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C22C2B"/>
    <w:pPr>
      <w:numPr>
        <w:ilvl w:val="4"/>
        <w:numId w:val="2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2C2B"/>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22C2B"/>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2C2B"/>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2C2B"/>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4C519C"/>
    <w:rPr>
      <w:sz w:val="16"/>
      <w:szCs w:val="16"/>
    </w:rPr>
  </w:style>
  <w:style w:type="paragraph" w:styleId="CommentText">
    <w:name w:val="annotation text"/>
    <w:basedOn w:val="Normal"/>
    <w:link w:val="CommentTextChar"/>
    <w:uiPriority w:val="99"/>
    <w:semiHidden/>
    <w:unhideWhenUsed/>
    <w:rsid w:val="004C519C"/>
    <w:pPr>
      <w:spacing w:line="240" w:lineRule="auto"/>
    </w:pPr>
    <w:rPr>
      <w:sz w:val="20"/>
      <w:szCs w:val="20"/>
    </w:rPr>
  </w:style>
  <w:style w:type="character" w:customStyle="1" w:styleId="CommentTextChar">
    <w:name w:val="Comment Text Char"/>
    <w:basedOn w:val="DefaultParagraphFont"/>
    <w:link w:val="CommentText"/>
    <w:uiPriority w:val="99"/>
    <w:semiHidden/>
    <w:rsid w:val="004C519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519C"/>
    <w:rPr>
      <w:b/>
      <w:bCs/>
    </w:rPr>
  </w:style>
  <w:style w:type="character" w:customStyle="1" w:styleId="CommentSubjectChar">
    <w:name w:val="Comment Subject Char"/>
    <w:basedOn w:val="CommentTextChar"/>
    <w:link w:val="CommentSubject"/>
    <w:uiPriority w:val="99"/>
    <w:semiHidden/>
    <w:rsid w:val="004C519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4C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9C"/>
    <w:rPr>
      <w:rFonts w:ascii="Segoe UI" w:eastAsiaTheme="minorHAnsi" w:hAnsi="Segoe UI" w:cs="Segoe UI"/>
      <w:sz w:val="18"/>
      <w:szCs w:val="18"/>
      <w:lang w:eastAsia="en-US"/>
    </w:rPr>
  </w:style>
  <w:style w:type="paragraph" w:styleId="BodyText">
    <w:name w:val="Body Text"/>
    <w:aliases w:val="F4 Main Text,Bulline,Body Text2,Document,Body Text Char1,Body Text2 Char1,Body text,body text. Body text,body text."/>
    <w:basedOn w:val="Normal"/>
    <w:link w:val="BodyTextChar"/>
    <w:qFormat/>
    <w:rsid w:val="00AA5618"/>
    <w:pPr>
      <w:spacing w:before="120" w:after="120"/>
      <w:ind w:left="567" w:firstLine="0"/>
      <w:jc w:val="both"/>
    </w:pPr>
    <w:rPr>
      <w:rFonts w:asciiTheme="minorHAnsi" w:hAnsiTheme="minorHAnsi"/>
    </w:r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rsid w:val="00AA5618"/>
    <w:rPr>
      <w:rFonts w:eastAsiaTheme="minorHAnsi"/>
      <w:lang w:eastAsia="en-US"/>
    </w:rPr>
  </w:style>
  <w:style w:type="table" w:customStyle="1" w:styleId="BMGTable">
    <w:name w:val="BMG Table"/>
    <w:basedOn w:val="TableNormal"/>
    <w:uiPriority w:val="61"/>
    <w:rsid w:val="00B84844"/>
    <w:pPr>
      <w:spacing w:before="60" w:after="60" w:line="240" w:lineRule="auto"/>
      <w:jc w:val="center"/>
    </w:pPr>
    <w:rPr>
      <w:rFonts w:eastAsiaTheme="minorHAnsi"/>
      <w:sz w:val="20"/>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cPr>
      <w:vAlign w:val="center"/>
    </w:tcPr>
    <w:tblStylePr w:type="firstRow">
      <w:pPr>
        <w:spacing w:before="0" w:after="0" w:line="240" w:lineRule="auto"/>
      </w:pPr>
      <w:rPr>
        <w:b/>
        <w:bCs/>
        <w:color w:val="FFFFFF" w:themeColor="background1"/>
      </w:rPr>
      <w:tblPr/>
      <w:tcPr>
        <w:shd w:val="clear" w:color="auto" w:fill="5B9BD5" w:themeFill="accent1"/>
      </w:tcPr>
    </w:tblStylePr>
    <w:tblStylePr w:type="lastRow">
      <w:pPr>
        <w:wordWrap/>
        <w:spacing w:beforeLines="0" w:afterLines="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pPr>
        <w:jc w:val="left"/>
      </w:pPr>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basedOn w:val="Normal"/>
    <w:next w:val="Normal"/>
    <w:uiPriority w:val="6"/>
    <w:qFormat/>
    <w:rsid w:val="00B84844"/>
    <w:pPr>
      <w:keepNext/>
      <w:keepLines/>
      <w:spacing w:before="240" w:after="120" w:line="240" w:lineRule="auto"/>
      <w:ind w:left="0" w:firstLine="0"/>
    </w:pPr>
    <w:rPr>
      <w:rFonts w:asciiTheme="minorHAnsi" w:hAnsiTheme="minorHAnsi"/>
      <w:b/>
      <w:bCs/>
      <w:szCs w:val="18"/>
    </w:rPr>
  </w:style>
  <w:style w:type="character" w:customStyle="1" w:styleId="Heading1Char">
    <w:name w:val="Heading 1 Char"/>
    <w:aliases w:val="F8 Main Heading Char"/>
    <w:basedOn w:val="DefaultParagraphFont"/>
    <w:link w:val="Heading1"/>
    <w:rsid w:val="00C22C2B"/>
    <w:rPr>
      <w:rFonts w:asciiTheme="majorHAnsi" w:eastAsiaTheme="majorEastAsia" w:hAnsiTheme="majorHAnsi" w:cstheme="majorBidi"/>
      <w:b/>
      <w:bCs/>
      <w:color w:val="FFFFFF" w:themeColor="background1"/>
      <w:sz w:val="28"/>
      <w:szCs w:val="28"/>
      <w:shd w:val="clear" w:color="auto" w:fill="0075A4"/>
      <w:lang w:eastAsia="en-US"/>
    </w:rPr>
  </w:style>
  <w:style w:type="character" w:customStyle="1" w:styleId="Heading2Char">
    <w:name w:val="Heading 2 Char"/>
    <w:aliases w:val="F7 Sub Heading Char"/>
    <w:basedOn w:val="DefaultParagraphFont"/>
    <w:link w:val="Heading2"/>
    <w:uiPriority w:val="1"/>
    <w:rsid w:val="00C22C2B"/>
    <w:rPr>
      <w:rFonts w:asciiTheme="majorHAnsi" w:eastAsiaTheme="majorEastAsia" w:hAnsiTheme="majorHAnsi" w:cstheme="majorBidi"/>
      <w:b/>
      <w:bCs/>
      <w:color w:val="0075A4"/>
      <w:sz w:val="26"/>
      <w:szCs w:val="26"/>
      <w:lang w:eastAsia="en-US"/>
    </w:rPr>
  </w:style>
  <w:style w:type="character" w:customStyle="1" w:styleId="Heading3Char">
    <w:name w:val="Heading 3 Char"/>
    <w:aliases w:val="F6 Sub sub Heading Char"/>
    <w:basedOn w:val="DefaultParagraphFont"/>
    <w:link w:val="Heading3"/>
    <w:uiPriority w:val="2"/>
    <w:rsid w:val="00C22C2B"/>
    <w:rPr>
      <w:rFonts w:asciiTheme="majorHAnsi" w:eastAsiaTheme="majorEastAsia" w:hAnsiTheme="majorHAnsi" w:cstheme="majorBidi"/>
      <w:b/>
      <w:bCs/>
      <w:lang w:eastAsia="en-US"/>
    </w:rPr>
  </w:style>
  <w:style w:type="character" w:customStyle="1" w:styleId="Heading4Char">
    <w:name w:val="Heading 4 Char"/>
    <w:basedOn w:val="DefaultParagraphFont"/>
    <w:link w:val="Heading4"/>
    <w:uiPriority w:val="3"/>
    <w:rsid w:val="00C22C2B"/>
    <w:rPr>
      <w:rFonts w:asciiTheme="majorHAnsi" w:eastAsiaTheme="majorEastAsia" w:hAnsiTheme="majorHAnsi" w:cstheme="majorBidi"/>
      <w:b/>
      <w:bCs/>
      <w:i/>
      <w:iCs/>
      <w:lang w:eastAsia="en-US"/>
    </w:rPr>
  </w:style>
  <w:style w:type="character" w:customStyle="1" w:styleId="Heading5Char">
    <w:name w:val="Heading 5 Char"/>
    <w:basedOn w:val="DefaultParagraphFont"/>
    <w:link w:val="Heading5"/>
    <w:uiPriority w:val="9"/>
    <w:rsid w:val="00C22C2B"/>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rsid w:val="00C22C2B"/>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C22C2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C22C2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C22C2B"/>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E36D87"/>
    <w:pPr>
      <w:spacing w:before="120"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E36D87"/>
    <w:rPr>
      <w:sz w:val="20"/>
      <w:szCs w:val="20"/>
      <w:lang w:eastAsia="en-US"/>
    </w:rPr>
  </w:style>
  <w:style w:type="character" w:styleId="FootnoteReference">
    <w:name w:val="footnote reference"/>
    <w:basedOn w:val="DefaultParagraphFont"/>
    <w:uiPriority w:val="99"/>
    <w:semiHidden/>
    <w:unhideWhenUsed/>
    <w:rsid w:val="00E36D87"/>
    <w:rPr>
      <w:vertAlign w:val="superscript"/>
    </w:rPr>
  </w:style>
  <w:style w:type="character" w:styleId="Hyperlink">
    <w:name w:val="Hyperlink"/>
    <w:basedOn w:val="DefaultParagraphFont"/>
    <w:uiPriority w:val="99"/>
    <w:unhideWhenUsed/>
    <w:rsid w:val="00D85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cooper@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t.whitworth@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D69E4"/>
    <w:rsid w:val="002F1F5C"/>
    <w:rsid w:val="004777EC"/>
    <w:rsid w:val="004E2C7C"/>
    <w:rsid w:val="0052440C"/>
    <w:rsid w:val="005302B2"/>
    <w:rsid w:val="005C3E45"/>
    <w:rsid w:val="005E6CCF"/>
    <w:rsid w:val="00652F7C"/>
    <w:rsid w:val="00787762"/>
    <w:rsid w:val="008446C3"/>
    <w:rsid w:val="00983C67"/>
    <w:rsid w:val="009D4F52"/>
    <w:rsid w:val="00B710F9"/>
    <w:rsid w:val="00CC6950"/>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F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B465D1618314F8297BEAFF54B23635E">
    <w:name w:val="AB465D1618314F8297BEAFF54B23635E"/>
    <w:rsid w:val="005302B2"/>
    <w:rPr>
      <w:lang w:eastAsia="en-GB"/>
    </w:rPr>
  </w:style>
  <w:style w:type="paragraph" w:customStyle="1" w:styleId="0C90F1B8024741CEAC5D72D051A97D0E">
    <w:name w:val="0C90F1B8024741CEAC5D72D051A97D0E"/>
    <w:rsid w:val="00983C67"/>
    <w:rPr>
      <w:lang w:eastAsia="en-GB"/>
    </w:rPr>
  </w:style>
  <w:style w:type="paragraph" w:customStyle="1" w:styleId="F862DB3E8FC64146AA4C5E3C0DCD744A">
    <w:name w:val="F862DB3E8FC64146AA4C5E3C0DCD744A"/>
    <w:rsid w:val="00983C67"/>
    <w:rPr>
      <w:lang w:eastAsia="en-GB"/>
    </w:rPr>
  </w:style>
  <w:style w:type="paragraph" w:customStyle="1" w:styleId="C1E03748527D49A690C7AD6E2820BCC4">
    <w:name w:val="C1E03748527D49A690C7AD6E2820BCC4"/>
    <w:rsid w:val="00983C67"/>
    <w:rPr>
      <w:lang w:eastAsia="en-GB"/>
    </w:rPr>
  </w:style>
  <w:style w:type="paragraph" w:customStyle="1" w:styleId="8D7F1E8B27684045B80290CFF84ABC1A">
    <w:name w:val="8D7F1E8B27684045B80290CFF84ABC1A"/>
    <w:rsid w:val="00983C67"/>
    <w:rPr>
      <w:lang w:eastAsia="en-GB"/>
    </w:rPr>
  </w:style>
  <w:style w:type="paragraph" w:customStyle="1" w:styleId="7ED3D9970C224E7A8C74B9E0C6BE1D5E">
    <w:name w:val="7ED3D9970C224E7A8C74B9E0C6BE1D5E"/>
    <w:rsid w:val="004777EC"/>
    <w:rPr>
      <w:lang w:eastAsia="en-GB"/>
    </w:rPr>
  </w:style>
  <w:style w:type="paragraph" w:customStyle="1" w:styleId="48D8C61824D847E9A304B55EBF712A98">
    <w:name w:val="48D8C61824D847E9A304B55EBF712A98"/>
    <w:rsid w:val="009D4F52"/>
    <w:rPr>
      <w:lang w:eastAsia="en-GB"/>
    </w:rPr>
  </w:style>
  <w:style w:type="paragraph" w:customStyle="1" w:styleId="68C0A1327AC54EA7A6EB02D53ADC4832">
    <w:name w:val="68C0A1327AC54EA7A6EB02D53ADC4832"/>
    <w:rsid w:val="009D4F52"/>
    <w:rPr>
      <w:lang w:eastAsia="en-GB"/>
    </w:rPr>
  </w:style>
  <w:style w:type="paragraph" w:customStyle="1" w:styleId="921D1EC5578A411CAC124D2444946C54">
    <w:name w:val="921D1EC5578A411CAC124D2444946C54"/>
    <w:rsid w:val="0052440C"/>
    <w:rPr>
      <w:lang w:eastAsia="en-GB"/>
    </w:rPr>
  </w:style>
  <w:style w:type="paragraph" w:customStyle="1" w:styleId="640A87780E5844A3A5CA106C5CC71F2D">
    <w:name w:val="640A87780E5844A3A5CA106C5CC71F2D"/>
    <w:rsid w:val="005C3E45"/>
    <w:rPr>
      <w:lang w:eastAsia="en-GB"/>
    </w:rPr>
  </w:style>
  <w:style w:type="paragraph" w:customStyle="1" w:styleId="658771A344F34ACDA0637265479ACA45">
    <w:name w:val="658771A344F34ACDA0637265479ACA45"/>
    <w:rsid w:val="00652F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6971-843E-40FB-AC05-0DF51A29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1c8a0e75-f4bc-4eb4-8ed0-578eaea9e1ca"/>
    <ds:schemaRef ds:uri="http://schemas.microsoft.com/office/2006/documentManagement/types"/>
    <ds:schemaRef ds:uri="http://www.w3.org/XML/1998/namespace"/>
    <ds:schemaRef ds:uri="http://schemas.microsoft.com/office/infopath/2007/PartnerControls"/>
    <ds:schemaRef ds:uri="0c42e574-eb01-412a-abec-28d17bedca05"/>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A626C7F4-9E56-4446-96D3-5D7AAEBE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D31CF412</Template>
  <TotalTime>40</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13</cp:revision>
  <cp:lastPrinted>2018-04-12T10:57:00Z</cp:lastPrinted>
  <dcterms:created xsi:type="dcterms:W3CDTF">2018-05-14T14:18:00Z</dcterms:created>
  <dcterms:modified xsi:type="dcterms:W3CDTF">2018-05-17T14:53:00Z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